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D08" w:rsidRPr="004F0D3F" w:rsidRDefault="00235D08" w:rsidP="00235D08">
      <w:pPr>
        <w:pStyle w:val="Heading1"/>
        <w:spacing w:line="240" w:lineRule="auto"/>
      </w:pPr>
      <w:bookmarkStart w:id="0" w:name="_Toc343591381"/>
      <w:r w:rsidRPr="004F0D3F">
        <w:t>SCHEDULE 2 – THE SERVICES</w:t>
      </w:r>
      <w:bookmarkEnd w:id="0"/>
    </w:p>
    <w:p w:rsidR="00235D08" w:rsidRPr="00102633" w:rsidRDefault="00235D08" w:rsidP="00235D08">
      <w:pPr>
        <w:widowControl w:val="0"/>
        <w:spacing w:after="0"/>
        <w:jc w:val="center"/>
        <w:rPr>
          <w:rFonts w:ascii="Arial" w:hAnsi="Arial" w:cs="Arial"/>
          <w:b/>
          <w:bCs/>
          <w:sz w:val="20"/>
        </w:rPr>
      </w:pPr>
    </w:p>
    <w:p w:rsidR="00235D08" w:rsidRPr="006E67E3" w:rsidRDefault="00235D08" w:rsidP="00235D08">
      <w:pPr>
        <w:pStyle w:val="ListParagraph"/>
        <w:numPr>
          <w:ilvl w:val="0"/>
          <w:numId w:val="1"/>
        </w:numPr>
        <w:ind w:left="0" w:firstLine="0"/>
        <w:contextualSpacing/>
        <w:jc w:val="center"/>
        <w:outlineLvl w:val="1"/>
        <w:rPr>
          <w:rFonts w:ascii="Arial" w:hAnsi="Arial" w:cs="Arial"/>
          <w:b/>
        </w:rPr>
      </w:pPr>
      <w:bookmarkStart w:id="1" w:name="_Toc343591382"/>
      <w:r w:rsidRPr="006E67E3">
        <w:rPr>
          <w:rFonts w:ascii="Arial" w:hAnsi="Arial" w:cs="Arial"/>
          <w:b/>
        </w:rPr>
        <w:t>Service Specifications</w:t>
      </w:r>
      <w:bookmarkEnd w:id="1"/>
    </w:p>
    <w:p w:rsidR="00235D08" w:rsidRPr="00A810D5" w:rsidRDefault="00235D08" w:rsidP="00235D08">
      <w:pPr>
        <w:shd w:val="clear" w:color="auto" w:fill="FFFFFF" w:themeFill="background1"/>
        <w:spacing w:after="0"/>
        <w:jc w:val="both"/>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2970"/>
        <w:gridCol w:w="5444"/>
      </w:tblGrid>
      <w:tr w:rsidR="00235D08" w:rsidRPr="00DF4267" w:rsidTr="00153451">
        <w:tc>
          <w:tcPr>
            <w:tcW w:w="2970" w:type="dxa"/>
            <w:shd w:val="clear" w:color="auto" w:fill="4A442A" w:themeFill="background2" w:themeFillShade="40"/>
          </w:tcPr>
          <w:p w:rsidR="00235D08" w:rsidRPr="00E24B8C" w:rsidRDefault="00235D08" w:rsidP="0030021D">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Service Specification No.</w:t>
            </w:r>
          </w:p>
        </w:tc>
        <w:tc>
          <w:tcPr>
            <w:tcW w:w="5444" w:type="dxa"/>
            <w:shd w:val="clear" w:color="auto" w:fill="auto"/>
          </w:tcPr>
          <w:p w:rsidR="00235D08" w:rsidRPr="00153451" w:rsidRDefault="00153451" w:rsidP="00C82780">
            <w:pPr>
              <w:spacing w:after="0"/>
              <w:rPr>
                <w:rFonts w:ascii="Arial" w:hAnsi="Arial" w:cs="Arial"/>
                <w:sz w:val="20"/>
                <w:highlight w:val="yellow"/>
              </w:rPr>
            </w:pPr>
            <w:r w:rsidRPr="00153451">
              <w:rPr>
                <w:rFonts w:ascii="Arial" w:hAnsi="Arial" w:cs="Arial"/>
                <w:sz w:val="20"/>
              </w:rPr>
              <w:t>TBC</w:t>
            </w:r>
          </w:p>
        </w:tc>
      </w:tr>
      <w:tr w:rsidR="00C82780" w:rsidRPr="00DF4267" w:rsidTr="00E24B8C">
        <w:tc>
          <w:tcPr>
            <w:tcW w:w="2970" w:type="dxa"/>
            <w:shd w:val="clear" w:color="auto" w:fill="4A442A" w:themeFill="background2" w:themeFillShade="40"/>
          </w:tcPr>
          <w:p w:rsidR="00C82780" w:rsidRPr="00E24B8C" w:rsidRDefault="00C82780" w:rsidP="0030021D">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Service</w:t>
            </w:r>
          </w:p>
        </w:tc>
        <w:tc>
          <w:tcPr>
            <w:tcW w:w="5444" w:type="dxa"/>
            <w:shd w:val="clear" w:color="auto" w:fill="auto"/>
          </w:tcPr>
          <w:p w:rsidR="00C82780" w:rsidRPr="00C82780" w:rsidRDefault="00C82780" w:rsidP="00C82780">
            <w:pPr>
              <w:spacing w:after="0"/>
              <w:rPr>
                <w:rFonts w:ascii="Arial" w:hAnsi="Arial" w:cs="Arial"/>
                <w:sz w:val="20"/>
              </w:rPr>
            </w:pPr>
            <w:r w:rsidRPr="00C82780">
              <w:rPr>
                <w:rFonts w:ascii="Arial" w:hAnsi="Arial" w:cs="Arial"/>
                <w:sz w:val="20"/>
              </w:rPr>
              <w:t>Primary Care Ear Wax Removal Service</w:t>
            </w:r>
          </w:p>
        </w:tc>
      </w:tr>
      <w:tr w:rsidR="00C82780" w:rsidRPr="00DF4267" w:rsidTr="00153451">
        <w:tc>
          <w:tcPr>
            <w:tcW w:w="2970" w:type="dxa"/>
            <w:shd w:val="clear" w:color="auto" w:fill="4A442A" w:themeFill="background2" w:themeFillShade="40"/>
          </w:tcPr>
          <w:p w:rsidR="00C82780" w:rsidRPr="00E24B8C" w:rsidRDefault="00C82780" w:rsidP="0030021D">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Commissioner Lead</w:t>
            </w:r>
          </w:p>
        </w:tc>
        <w:tc>
          <w:tcPr>
            <w:tcW w:w="5444" w:type="dxa"/>
            <w:shd w:val="clear" w:color="auto" w:fill="auto"/>
          </w:tcPr>
          <w:p w:rsidR="00C82780" w:rsidRPr="00C82780" w:rsidRDefault="00AE6E56" w:rsidP="00C82780">
            <w:pPr>
              <w:spacing w:after="0"/>
              <w:rPr>
                <w:rFonts w:ascii="Arial" w:hAnsi="Arial" w:cs="Arial"/>
                <w:sz w:val="20"/>
              </w:rPr>
            </w:pPr>
            <w:r>
              <w:rPr>
                <w:rFonts w:ascii="Arial" w:hAnsi="Arial" w:cs="Arial"/>
                <w:sz w:val="20"/>
              </w:rPr>
              <w:t xml:space="preserve">Head of Primary Care </w:t>
            </w:r>
            <w:r w:rsidR="00153451">
              <w:rPr>
                <w:rFonts w:ascii="Arial" w:hAnsi="Arial" w:cs="Arial"/>
                <w:sz w:val="20"/>
              </w:rPr>
              <w:t>Telford and Wrekin CCG</w:t>
            </w:r>
          </w:p>
        </w:tc>
      </w:tr>
      <w:tr w:rsidR="00C82780" w:rsidRPr="00DF4267" w:rsidTr="00153451">
        <w:tc>
          <w:tcPr>
            <w:tcW w:w="2970" w:type="dxa"/>
            <w:shd w:val="clear" w:color="auto" w:fill="4A442A" w:themeFill="background2" w:themeFillShade="40"/>
          </w:tcPr>
          <w:p w:rsidR="00C82780" w:rsidRPr="00E24B8C" w:rsidRDefault="00C82780" w:rsidP="0030021D">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Provider Lead</w:t>
            </w:r>
          </w:p>
        </w:tc>
        <w:tc>
          <w:tcPr>
            <w:tcW w:w="5444" w:type="dxa"/>
            <w:shd w:val="clear" w:color="auto" w:fill="auto"/>
          </w:tcPr>
          <w:p w:rsidR="00C82780" w:rsidRPr="00C82780" w:rsidRDefault="00153451" w:rsidP="00C82780">
            <w:pPr>
              <w:spacing w:after="0"/>
              <w:rPr>
                <w:rFonts w:ascii="Arial" w:hAnsi="Arial" w:cs="Arial"/>
                <w:sz w:val="20"/>
              </w:rPr>
            </w:pPr>
            <w:r>
              <w:rPr>
                <w:rFonts w:ascii="Arial" w:hAnsi="Arial" w:cs="Arial"/>
                <w:sz w:val="20"/>
              </w:rPr>
              <w:t>Telford and Wrekin GP Practices</w:t>
            </w:r>
          </w:p>
        </w:tc>
      </w:tr>
      <w:tr w:rsidR="00C82780" w:rsidRPr="00DF4267" w:rsidTr="00E24B8C">
        <w:tc>
          <w:tcPr>
            <w:tcW w:w="2970" w:type="dxa"/>
            <w:shd w:val="clear" w:color="auto" w:fill="4A442A" w:themeFill="background2" w:themeFillShade="40"/>
          </w:tcPr>
          <w:p w:rsidR="00C82780" w:rsidRPr="00E24B8C" w:rsidRDefault="00C82780" w:rsidP="0030021D">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Period</w:t>
            </w:r>
          </w:p>
        </w:tc>
        <w:tc>
          <w:tcPr>
            <w:tcW w:w="5444" w:type="dxa"/>
            <w:shd w:val="clear" w:color="auto" w:fill="auto"/>
          </w:tcPr>
          <w:p w:rsidR="00C82780" w:rsidRPr="00C82780" w:rsidRDefault="00F40DD7" w:rsidP="00AE5654">
            <w:pPr>
              <w:spacing w:after="0"/>
              <w:rPr>
                <w:rFonts w:ascii="Arial" w:hAnsi="Arial" w:cs="Arial"/>
                <w:sz w:val="20"/>
              </w:rPr>
            </w:pPr>
            <w:r>
              <w:rPr>
                <w:rFonts w:ascii="Arial" w:hAnsi="Arial" w:cs="Arial"/>
                <w:sz w:val="20"/>
              </w:rPr>
              <w:t>1</w:t>
            </w:r>
            <w:r w:rsidRPr="00F40DD7">
              <w:rPr>
                <w:rFonts w:ascii="Arial" w:hAnsi="Arial" w:cs="Arial"/>
                <w:sz w:val="20"/>
                <w:vertAlign w:val="superscript"/>
              </w:rPr>
              <w:t>st</w:t>
            </w:r>
            <w:r>
              <w:rPr>
                <w:rFonts w:ascii="Arial" w:hAnsi="Arial" w:cs="Arial"/>
                <w:sz w:val="20"/>
              </w:rPr>
              <w:t xml:space="preserve"> April 20</w:t>
            </w:r>
            <w:r w:rsidR="00AE5654">
              <w:rPr>
                <w:rFonts w:ascii="Arial" w:hAnsi="Arial" w:cs="Arial"/>
                <w:sz w:val="20"/>
              </w:rPr>
              <w:t>20</w:t>
            </w:r>
            <w:r>
              <w:rPr>
                <w:rFonts w:ascii="Arial" w:hAnsi="Arial" w:cs="Arial"/>
                <w:sz w:val="20"/>
              </w:rPr>
              <w:t xml:space="preserve"> to 31 March 202</w:t>
            </w:r>
            <w:r w:rsidR="00AE5654">
              <w:rPr>
                <w:rFonts w:ascii="Arial" w:hAnsi="Arial" w:cs="Arial"/>
                <w:sz w:val="20"/>
              </w:rPr>
              <w:t>1</w:t>
            </w:r>
          </w:p>
        </w:tc>
      </w:tr>
      <w:tr w:rsidR="00C82780" w:rsidRPr="00DF4267" w:rsidTr="00E24B8C">
        <w:tc>
          <w:tcPr>
            <w:tcW w:w="2970" w:type="dxa"/>
            <w:shd w:val="clear" w:color="auto" w:fill="4A442A" w:themeFill="background2" w:themeFillShade="40"/>
          </w:tcPr>
          <w:p w:rsidR="00C82780" w:rsidRPr="00E24B8C" w:rsidRDefault="00C82780" w:rsidP="0030021D">
            <w:pPr>
              <w:spacing w:after="0"/>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Date of Review</w:t>
            </w:r>
          </w:p>
        </w:tc>
        <w:tc>
          <w:tcPr>
            <w:tcW w:w="5444" w:type="dxa"/>
            <w:shd w:val="clear" w:color="auto" w:fill="auto"/>
          </w:tcPr>
          <w:p w:rsidR="00C82780" w:rsidRPr="00C82780" w:rsidRDefault="00AE5654" w:rsidP="00AE5654">
            <w:pPr>
              <w:spacing w:after="0"/>
              <w:rPr>
                <w:rFonts w:ascii="Arial" w:hAnsi="Arial" w:cs="Arial"/>
                <w:sz w:val="20"/>
              </w:rPr>
            </w:pPr>
            <w:r>
              <w:rPr>
                <w:rFonts w:ascii="Arial" w:hAnsi="Arial" w:cs="Arial"/>
                <w:sz w:val="20"/>
              </w:rPr>
              <w:t xml:space="preserve">October </w:t>
            </w:r>
            <w:r w:rsidR="00F40DD7">
              <w:rPr>
                <w:rFonts w:ascii="Arial" w:hAnsi="Arial" w:cs="Arial"/>
                <w:sz w:val="20"/>
              </w:rPr>
              <w:t>20</w:t>
            </w:r>
            <w:r>
              <w:rPr>
                <w:rFonts w:ascii="Arial" w:hAnsi="Arial" w:cs="Arial"/>
                <w:sz w:val="20"/>
              </w:rPr>
              <w:t>20</w:t>
            </w:r>
          </w:p>
        </w:tc>
      </w:tr>
    </w:tbl>
    <w:p w:rsidR="00235D08" w:rsidRPr="00E436D2" w:rsidRDefault="00235D08" w:rsidP="00235D08">
      <w:pPr>
        <w:spacing w:after="0"/>
        <w:jc w:val="center"/>
        <w:rPr>
          <w:rFonts w:ascii="Arial" w:hAnsi="Arial" w:cs="Arial"/>
          <w:sz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Schedule 2A Service Specification"/>
      </w:tblPr>
      <w:tblGrid>
        <w:gridCol w:w="8414"/>
      </w:tblGrid>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1.</w:t>
            </w:r>
            <w:r w:rsidRPr="00E24B8C">
              <w:rPr>
                <w:rFonts w:ascii="Arial" w:eastAsia="Arial" w:hAnsi="Arial" w:cs="Arial"/>
                <w:b/>
                <w:color w:val="F79546"/>
                <w:position w:val="-1"/>
                <w:szCs w:val="24"/>
                <w:lang w:val="en-GB" w:eastAsia="en-US"/>
              </w:rPr>
              <w:tab/>
              <w:t>Population Needs</w:t>
            </w:r>
          </w:p>
        </w:tc>
      </w:tr>
      <w:tr w:rsidR="00235D08" w:rsidRPr="00512021" w:rsidTr="009D096C">
        <w:tc>
          <w:tcPr>
            <w:tcW w:w="8414" w:type="dxa"/>
            <w:shd w:val="clear" w:color="auto" w:fill="auto"/>
          </w:tcPr>
          <w:p w:rsidR="00235D08" w:rsidRPr="00A810D5" w:rsidRDefault="00235D08" w:rsidP="009D096C">
            <w:pPr>
              <w:spacing w:after="0"/>
              <w:ind w:left="360"/>
              <w:rPr>
                <w:rFonts w:ascii="Arial" w:hAnsi="Arial" w:cs="Arial"/>
                <w:sz w:val="20"/>
              </w:rPr>
            </w:pPr>
          </w:p>
          <w:p w:rsidR="00235D08" w:rsidRPr="00A810D5" w:rsidRDefault="00235D08" w:rsidP="00235D08">
            <w:pPr>
              <w:numPr>
                <w:ilvl w:val="1"/>
                <w:numId w:val="2"/>
              </w:numPr>
              <w:spacing w:after="0"/>
              <w:rPr>
                <w:rFonts w:ascii="Arial" w:hAnsi="Arial" w:cs="Arial"/>
                <w:b/>
                <w:sz w:val="20"/>
              </w:rPr>
            </w:pPr>
            <w:r w:rsidRPr="00A810D5">
              <w:rPr>
                <w:rFonts w:ascii="Arial" w:hAnsi="Arial" w:cs="Arial"/>
                <w:b/>
                <w:sz w:val="20"/>
              </w:rPr>
              <w:tab/>
              <w:t>National/local context and evidence base</w:t>
            </w:r>
          </w:p>
          <w:p w:rsidR="00235D08" w:rsidRDefault="00235D08" w:rsidP="009D096C">
            <w:pPr>
              <w:spacing w:after="0"/>
              <w:rPr>
                <w:rFonts w:ascii="Arial" w:hAnsi="Arial" w:cs="Arial"/>
                <w:sz w:val="20"/>
              </w:rPr>
            </w:pPr>
          </w:p>
          <w:p w:rsidR="00703224" w:rsidRDefault="000B1121" w:rsidP="00703224">
            <w:pPr>
              <w:autoSpaceDE w:val="0"/>
              <w:autoSpaceDN w:val="0"/>
              <w:adjustRightInd w:val="0"/>
              <w:spacing w:after="0"/>
              <w:rPr>
                <w:rFonts w:ascii="Arial" w:eastAsia="Calibri" w:hAnsi="Arial" w:cs="Arial"/>
                <w:color w:val="000000"/>
                <w:sz w:val="20"/>
                <w:lang w:val="en-GB" w:eastAsia="en-US"/>
              </w:rPr>
            </w:pPr>
            <w:r>
              <w:rPr>
                <w:rFonts w:ascii="Arial" w:eastAsia="Calibri" w:hAnsi="Arial" w:cs="Arial"/>
                <w:color w:val="000000"/>
                <w:sz w:val="20"/>
                <w:lang w:val="en-GB" w:eastAsia="en-US"/>
              </w:rPr>
              <w:t xml:space="preserve">Telford and Wrekin CCG </w:t>
            </w:r>
            <w:r w:rsidR="00703224">
              <w:rPr>
                <w:rFonts w:ascii="Arial" w:eastAsia="Calibri" w:hAnsi="Arial" w:cs="Arial"/>
                <w:color w:val="000000"/>
                <w:sz w:val="20"/>
                <w:lang w:val="en-GB" w:eastAsia="en-US"/>
              </w:rPr>
              <w:t xml:space="preserve">will ensure delivery of the nationally determined improvement areas as detailed within the Department of Health </w:t>
            </w:r>
            <w:r w:rsidR="00703224">
              <w:rPr>
                <w:rFonts w:ascii="Arial" w:eastAsia="Calibri" w:hAnsi="Arial" w:cs="Arial"/>
                <w:i/>
                <w:iCs/>
                <w:color w:val="000000"/>
                <w:sz w:val="20"/>
                <w:lang w:val="en-GB" w:eastAsia="en-US"/>
              </w:rPr>
              <w:t xml:space="preserve">Our </w:t>
            </w:r>
            <w:r w:rsidR="00703224">
              <w:rPr>
                <w:rFonts w:ascii="Arial" w:eastAsia="Calibri" w:hAnsi="Arial" w:cs="Arial"/>
                <w:i/>
                <w:color w:val="000000"/>
                <w:sz w:val="20"/>
                <w:lang w:val="en-GB" w:eastAsia="en-US"/>
              </w:rPr>
              <w:t>NHS Care Objectives 3 draft mandate</w:t>
            </w:r>
            <w:r w:rsidR="00703224">
              <w:rPr>
                <w:rFonts w:ascii="Arial" w:eastAsia="Calibri" w:hAnsi="Arial" w:cs="Arial"/>
                <w:color w:val="000000"/>
                <w:sz w:val="20"/>
                <w:lang w:val="en-GB" w:eastAsia="en-US"/>
              </w:rPr>
              <w:t>; within the following five domains:</w:t>
            </w:r>
          </w:p>
          <w:p w:rsidR="00703224" w:rsidRDefault="00703224" w:rsidP="00703224">
            <w:pPr>
              <w:autoSpaceDE w:val="0"/>
              <w:autoSpaceDN w:val="0"/>
              <w:adjustRightInd w:val="0"/>
              <w:spacing w:after="0"/>
              <w:rPr>
                <w:rFonts w:ascii="Arial" w:eastAsia="Calibri" w:hAnsi="Arial" w:cs="Arial"/>
                <w:color w:val="000000"/>
                <w:sz w:val="20"/>
                <w:lang w:val="en-GB" w:eastAsia="en-US"/>
              </w:rPr>
            </w:pPr>
          </w:p>
          <w:p w:rsidR="00703224" w:rsidRDefault="00703224" w:rsidP="00703224">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Preventing people from dying prematurely.</w:t>
            </w:r>
          </w:p>
          <w:p w:rsidR="00703224" w:rsidRDefault="00703224" w:rsidP="00703224">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Enhancing quality of life for people with long term condition</w:t>
            </w:r>
            <w:r w:rsidR="000B1121">
              <w:rPr>
                <w:rFonts w:ascii="Arial" w:eastAsia="Calibri" w:hAnsi="Arial" w:cs="Arial"/>
                <w:color w:val="000000"/>
                <w:sz w:val="20"/>
                <w:lang w:eastAsia="en-US"/>
              </w:rPr>
              <w:t>s</w:t>
            </w:r>
            <w:r>
              <w:rPr>
                <w:rFonts w:ascii="Arial" w:eastAsia="Calibri" w:hAnsi="Arial" w:cs="Arial"/>
                <w:color w:val="000000"/>
                <w:sz w:val="20"/>
                <w:lang w:eastAsia="en-US"/>
              </w:rPr>
              <w:t>.</w:t>
            </w:r>
          </w:p>
          <w:p w:rsidR="00703224" w:rsidRDefault="00703224" w:rsidP="00703224">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 xml:space="preserve">Helping people to recover from episodes of ill health or following injury. </w:t>
            </w:r>
          </w:p>
          <w:p w:rsidR="00703224" w:rsidRDefault="00703224" w:rsidP="00703224">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Ensuring people have a positive experience of care.</w:t>
            </w:r>
          </w:p>
          <w:p w:rsidR="00703224" w:rsidRDefault="00703224" w:rsidP="00703224">
            <w:pPr>
              <w:pStyle w:val="ListParagraph"/>
              <w:numPr>
                <w:ilvl w:val="0"/>
                <w:numId w:val="4"/>
              </w:numPr>
              <w:autoSpaceDE w:val="0"/>
              <w:autoSpaceDN w:val="0"/>
              <w:adjustRightInd w:val="0"/>
              <w:rPr>
                <w:rFonts w:ascii="Arial" w:eastAsia="Calibri" w:hAnsi="Arial" w:cs="Arial"/>
                <w:color w:val="000000"/>
                <w:sz w:val="20"/>
                <w:lang w:eastAsia="en-US"/>
              </w:rPr>
            </w:pPr>
            <w:r>
              <w:rPr>
                <w:rFonts w:ascii="Arial" w:eastAsia="Calibri" w:hAnsi="Arial" w:cs="Arial"/>
                <w:color w:val="000000"/>
                <w:sz w:val="20"/>
                <w:lang w:eastAsia="en-US"/>
              </w:rPr>
              <w:t>Treating and caring for people in a safe environment and protecting them from avoidable harm.</w:t>
            </w:r>
          </w:p>
          <w:p w:rsidR="00703224" w:rsidRDefault="00703224" w:rsidP="00703224">
            <w:pPr>
              <w:autoSpaceDE w:val="0"/>
              <w:autoSpaceDN w:val="0"/>
              <w:adjustRightInd w:val="0"/>
              <w:spacing w:after="0"/>
              <w:rPr>
                <w:rFonts w:ascii="Arial" w:eastAsia="Calibri" w:hAnsi="Arial" w:cs="Arial"/>
                <w:color w:val="000000"/>
                <w:sz w:val="20"/>
                <w:lang w:val="en-GB" w:eastAsia="en-US"/>
              </w:rPr>
            </w:pPr>
          </w:p>
          <w:p w:rsidR="00703224" w:rsidRDefault="00703224" w:rsidP="00703224">
            <w:pPr>
              <w:autoSpaceDE w:val="0"/>
              <w:autoSpaceDN w:val="0"/>
              <w:adjustRightInd w:val="0"/>
              <w:spacing w:after="0"/>
              <w:rPr>
                <w:rFonts w:ascii="Arial" w:eastAsia="Calibri" w:hAnsi="Arial" w:cs="Arial"/>
                <w:color w:val="000000"/>
                <w:sz w:val="20"/>
                <w:lang w:val="en-GB" w:eastAsia="en-US"/>
              </w:rPr>
            </w:pPr>
            <w:r>
              <w:rPr>
                <w:rFonts w:ascii="Arial" w:eastAsia="Calibri" w:hAnsi="Arial" w:cs="Arial"/>
                <w:color w:val="000000"/>
                <w:sz w:val="20"/>
                <w:lang w:val="en-GB" w:eastAsia="en-US"/>
              </w:rPr>
              <w:t>Delivery of better health outcomes within these domains underpins the strategic priorities of the CCG. The CCG is also committed to the delivery of regionally mandated service improvements where they are shown to improve patient outcomes or reduce inequalities.</w:t>
            </w:r>
          </w:p>
          <w:p w:rsidR="002937AD" w:rsidRPr="00A810D5" w:rsidRDefault="002937AD" w:rsidP="00C82780">
            <w:pPr>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2.</w:t>
            </w:r>
            <w:r w:rsidRPr="00E24B8C">
              <w:rPr>
                <w:rFonts w:ascii="Arial" w:eastAsia="Arial" w:hAnsi="Arial" w:cs="Arial"/>
                <w:b/>
                <w:color w:val="F79546"/>
                <w:position w:val="-1"/>
                <w:szCs w:val="24"/>
                <w:lang w:val="en-GB" w:eastAsia="en-US"/>
              </w:rPr>
              <w:tab/>
              <w:t>Outcomes</w:t>
            </w:r>
          </w:p>
        </w:tc>
      </w:tr>
      <w:tr w:rsidR="00235D08" w:rsidRPr="00DF4267" w:rsidTr="009D096C">
        <w:tc>
          <w:tcPr>
            <w:tcW w:w="8414" w:type="dxa"/>
            <w:shd w:val="clear" w:color="auto" w:fill="auto"/>
          </w:tcPr>
          <w:p w:rsidR="00703224" w:rsidRPr="00A810D5" w:rsidRDefault="00703224" w:rsidP="009D096C">
            <w:pPr>
              <w:spacing w:after="0" w:line="276" w:lineRule="auto"/>
              <w:rPr>
                <w:rFonts w:ascii="Arial" w:hAnsi="Arial" w:cs="Arial"/>
                <w:b/>
                <w:sz w:val="20"/>
              </w:rPr>
            </w:pPr>
          </w:p>
          <w:p w:rsidR="00235D08" w:rsidRPr="00A810D5" w:rsidRDefault="00235D08" w:rsidP="009D096C">
            <w:pPr>
              <w:spacing w:after="0" w:line="276" w:lineRule="auto"/>
              <w:rPr>
                <w:rFonts w:ascii="Arial" w:hAnsi="Arial" w:cs="Arial"/>
                <w:b/>
                <w:sz w:val="20"/>
              </w:rPr>
            </w:pPr>
            <w:r w:rsidRPr="00A810D5">
              <w:rPr>
                <w:rFonts w:ascii="Arial" w:hAnsi="Arial" w:cs="Arial"/>
                <w:b/>
                <w:sz w:val="20"/>
              </w:rPr>
              <w:t>2.1</w:t>
            </w:r>
            <w:r w:rsidRPr="00A810D5">
              <w:rPr>
                <w:rFonts w:ascii="Arial" w:hAnsi="Arial" w:cs="Arial"/>
                <w:b/>
                <w:sz w:val="20"/>
              </w:rPr>
              <w:tab/>
            </w:r>
            <w:r w:rsidRPr="00A810D5">
              <w:rPr>
                <w:rFonts w:ascii="Arial" w:hAnsi="Arial" w:cs="Arial"/>
                <w:b/>
                <w:sz w:val="20"/>
                <w:u w:val="single"/>
              </w:rPr>
              <w:t>NHS Outcomes Framework Domains &amp; Indicators</w:t>
            </w:r>
          </w:p>
          <w:p w:rsidR="00235D08" w:rsidRPr="00A810D5" w:rsidRDefault="00235D08" w:rsidP="009D096C">
            <w:pPr>
              <w:spacing w:after="0" w:line="276" w:lineRule="auto"/>
              <w:rPr>
                <w:rFonts w:ascii="Arial" w:hAnsi="Arial" w:cs="Arial"/>
                <w:b/>
                <w:sz w:val="20"/>
              </w:rPr>
            </w:pPr>
          </w:p>
          <w:tbl>
            <w:tblPr>
              <w:tblStyle w:val="TableGrid"/>
              <w:tblW w:w="0" w:type="auto"/>
              <w:tblInd w:w="738" w:type="dxa"/>
              <w:tblLook w:val="04A0" w:firstRow="1" w:lastRow="0" w:firstColumn="1" w:lastColumn="0" w:noHBand="0" w:noVBand="1"/>
              <w:tblDescription w:val="NHS Outcomes Framework Domains &amp; Indicators"/>
            </w:tblPr>
            <w:tblGrid>
              <w:gridCol w:w="1276"/>
              <w:gridCol w:w="5528"/>
              <w:gridCol w:w="641"/>
            </w:tblGrid>
            <w:tr w:rsidR="00235D08" w:rsidRPr="00A810D5" w:rsidTr="00703224">
              <w:trPr>
                <w:tblHeader/>
              </w:trPr>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1</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Preventing people from dying prematurely</w:t>
                  </w:r>
                </w:p>
              </w:tc>
              <w:tc>
                <w:tcPr>
                  <w:tcW w:w="641" w:type="dxa"/>
                  <w:vAlign w:val="center"/>
                </w:tcPr>
                <w:p w:rsidR="00235D08" w:rsidRDefault="00235D08" w:rsidP="00703224">
                  <w:pPr>
                    <w:spacing w:line="276" w:lineRule="auto"/>
                    <w:jc w:val="center"/>
                    <w:rPr>
                      <w:rFonts w:ascii="Arial" w:hAnsi="Arial" w:cs="Arial"/>
                      <w:b/>
                      <w:sz w:val="20"/>
                    </w:rPr>
                  </w:pPr>
                </w:p>
                <w:p w:rsidR="00703224" w:rsidRPr="00A810D5" w:rsidRDefault="00703224" w:rsidP="00703224">
                  <w:pPr>
                    <w:spacing w:line="276" w:lineRule="auto"/>
                    <w:jc w:val="center"/>
                    <w:rPr>
                      <w:rFonts w:ascii="Arial" w:hAnsi="Arial" w:cs="Arial"/>
                      <w:b/>
                      <w:sz w:val="20"/>
                    </w:rPr>
                  </w:pP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2</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Enhancing quality of life for people with long-term conditions</w:t>
                  </w:r>
                </w:p>
              </w:tc>
              <w:tc>
                <w:tcPr>
                  <w:tcW w:w="641" w:type="dxa"/>
                  <w:vAlign w:val="center"/>
                </w:tcPr>
                <w:p w:rsidR="00E24B8C" w:rsidRPr="00A810D5" w:rsidRDefault="00703224"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3</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Helping people to recover from episodes of ill-health or following injury</w:t>
                  </w:r>
                </w:p>
              </w:tc>
              <w:tc>
                <w:tcPr>
                  <w:tcW w:w="641" w:type="dxa"/>
                  <w:vAlign w:val="center"/>
                </w:tcPr>
                <w:p w:rsidR="00235D08" w:rsidRPr="00A810D5" w:rsidRDefault="00703224"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4</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Ensuring people have a positive experience of care</w:t>
                  </w:r>
                </w:p>
              </w:tc>
              <w:tc>
                <w:tcPr>
                  <w:tcW w:w="641" w:type="dxa"/>
                  <w:vAlign w:val="center"/>
                </w:tcPr>
                <w:p w:rsidR="00235D08" w:rsidRPr="00A810D5" w:rsidRDefault="00703224" w:rsidP="00703224">
                  <w:pPr>
                    <w:jc w:val="center"/>
                    <w:rPr>
                      <w:rFonts w:ascii="Arial" w:hAnsi="Arial" w:cs="Arial"/>
                      <w:b/>
                      <w:sz w:val="20"/>
                    </w:rPr>
                  </w:pPr>
                  <w:r>
                    <w:rPr>
                      <w:rFonts w:ascii="Arial" w:hAnsi="Arial" w:cs="Arial"/>
                      <w:b/>
                      <w:sz w:val="20"/>
                    </w:rPr>
                    <w:t>X</w:t>
                  </w:r>
                </w:p>
              </w:tc>
            </w:tr>
            <w:tr w:rsidR="00235D08" w:rsidRPr="00A810D5" w:rsidTr="00703224">
              <w:tc>
                <w:tcPr>
                  <w:tcW w:w="1276"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Domain 5</w:t>
                  </w:r>
                </w:p>
              </w:tc>
              <w:tc>
                <w:tcPr>
                  <w:tcW w:w="5528" w:type="dxa"/>
                </w:tcPr>
                <w:p w:rsidR="00235D08" w:rsidRPr="00A810D5" w:rsidRDefault="00235D08" w:rsidP="009D096C">
                  <w:pPr>
                    <w:spacing w:line="276" w:lineRule="auto"/>
                    <w:rPr>
                      <w:rFonts w:ascii="Arial" w:hAnsi="Arial" w:cs="Arial"/>
                      <w:b/>
                      <w:sz w:val="20"/>
                    </w:rPr>
                  </w:pPr>
                  <w:r w:rsidRPr="00A810D5">
                    <w:rPr>
                      <w:rFonts w:ascii="Arial" w:hAnsi="Arial" w:cs="Arial"/>
                      <w:b/>
                      <w:sz w:val="20"/>
                    </w:rPr>
                    <w:t>Treating and caring for people in safe environment and protecting them from avoidable harm</w:t>
                  </w:r>
                </w:p>
              </w:tc>
              <w:tc>
                <w:tcPr>
                  <w:tcW w:w="641" w:type="dxa"/>
                  <w:vAlign w:val="center"/>
                </w:tcPr>
                <w:p w:rsidR="00235D08" w:rsidRPr="00A810D5" w:rsidRDefault="00703224" w:rsidP="00703224">
                  <w:pPr>
                    <w:jc w:val="center"/>
                    <w:rPr>
                      <w:rFonts w:ascii="Arial" w:hAnsi="Arial" w:cs="Arial"/>
                      <w:b/>
                      <w:sz w:val="20"/>
                    </w:rPr>
                  </w:pPr>
                  <w:r>
                    <w:rPr>
                      <w:rFonts w:ascii="Arial" w:hAnsi="Arial" w:cs="Arial"/>
                      <w:b/>
                      <w:sz w:val="20"/>
                    </w:rPr>
                    <w:t>X</w:t>
                  </w:r>
                </w:p>
              </w:tc>
            </w:tr>
          </w:tbl>
          <w:p w:rsidR="00235D08" w:rsidRDefault="00235D08" w:rsidP="009D096C">
            <w:pPr>
              <w:spacing w:after="0" w:line="276" w:lineRule="auto"/>
              <w:rPr>
                <w:rFonts w:ascii="Arial" w:hAnsi="Arial" w:cs="Arial"/>
                <w:b/>
                <w:sz w:val="20"/>
              </w:rPr>
            </w:pPr>
          </w:p>
          <w:p w:rsidR="00235D08" w:rsidRPr="00A810D5" w:rsidRDefault="00235D08" w:rsidP="009D096C">
            <w:pPr>
              <w:spacing w:after="0" w:line="276" w:lineRule="auto"/>
              <w:rPr>
                <w:rFonts w:ascii="Arial" w:hAnsi="Arial" w:cs="Arial"/>
                <w:b/>
                <w:sz w:val="20"/>
              </w:rPr>
            </w:pPr>
            <w:r w:rsidRPr="00A810D5">
              <w:rPr>
                <w:rFonts w:ascii="Arial" w:hAnsi="Arial" w:cs="Arial"/>
                <w:b/>
                <w:sz w:val="20"/>
              </w:rPr>
              <w:t>2.2</w:t>
            </w:r>
            <w:r w:rsidRPr="00A810D5">
              <w:rPr>
                <w:rFonts w:ascii="Arial" w:hAnsi="Arial" w:cs="Arial"/>
                <w:b/>
                <w:sz w:val="20"/>
              </w:rPr>
              <w:tab/>
              <w:t>Local defined outcomes</w:t>
            </w:r>
          </w:p>
          <w:p w:rsidR="00703224" w:rsidRDefault="00703224" w:rsidP="00703224">
            <w:pPr>
              <w:spacing w:after="0"/>
              <w:rPr>
                <w:rFonts w:ascii="Arial" w:hAnsi="Arial" w:cs="Arial"/>
                <w:b/>
                <w:sz w:val="20"/>
              </w:rPr>
            </w:pPr>
          </w:p>
          <w:p w:rsidR="00703224" w:rsidRPr="00703224" w:rsidRDefault="00703224" w:rsidP="00703224">
            <w:pPr>
              <w:spacing w:after="0"/>
              <w:rPr>
                <w:rFonts w:ascii="Arial" w:hAnsi="Arial" w:cs="Arial"/>
                <w:sz w:val="20"/>
              </w:rPr>
            </w:pPr>
            <w:r w:rsidRPr="00703224">
              <w:rPr>
                <w:rFonts w:ascii="Arial" w:hAnsi="Arial" w:cs="Arial"/>
                <w:sz w:val="20"/>
              </w:rPr>
              <w:t>The key outcome of the service is to ensure that all patients are managed effectively. Other objectives of the service are:</w:t>
            </w:r>
          </w:p>
          <w:p w:rsidR="00703224" w:rsidRPr="00703224" w:rsidRDefault="00703224" w:rsidP="00703224">
            <w:pPr>
              <w:spacing w:after="0"/>
              <w:rPr>
                <w:rFonts w:ascii="Arial" w:hAnsi="Arial" w:cs="Arial"/>
                <w:sz w:val="20"/>
              </w:rPr>
            </w:pPr>
          </w:p>
          <w:p w:rsidR="00703224" w:rsidRPr="00703224" w:rsidRDefault="000B1121" w:rsidP="00703224">
            <w:pPr>
              <w:pStyle w:val="ListParagraph"/>
              <w:numPr>
                <w:ilvl w:val="0"/>
                <w:numId w:val="6"/>
              </w:numPr>
              <w:rPr>
                <w:rFonts w:ascii="Arial" w:hAnsi="Arial" w:cs="Arial"/>
                <w:sz w:val="20"/>
              </w:rPr>
            </w:pPr>
            <w:r>
              <w:rPr>
                <w:rFonts w:ascii="Arial" w:hAnsi="Arial" w:cs="Arial"/>
                <w:sz w:val="20"/>
              </w:rPr>
              <w:t>Red</w:t>
            </w:r>
            <w:r w:rsidR="00FE13E6">
              <w:rPr>
                <w:rFonts w:ascii="Arial" w:hAnsi="Arial" w:cs="Arial"/>
                <w:sz w:val="20"/>
              </w:rPr>
              <w:t>uce</w:t>
            </w:r>
            <w:r w:rsidR="00703224" w:rsidRPr="00703224">
              <w:rPr>
                <w:rFonts w:ascii="Arial" w:hAnsi="Arial" w:cs="Arial"/>
                <w:sz w:val="20"/>
              </w:rPr>
              <w:t xml:space="preserve"> outpatient waiting times;</w:t>
            </w:r>
          </w:p>
          <w:p w:rsidR="00703224" w:rsidRPr="00703224" w:rsidRDefault="000B1121" w:rsidP="00703224">
            <w:pPr>
              <w:pStyle w:val="ListParagraph"/>
              <w:numPr>
                <w:ilvl w:val="0"/>
                <w:numId w:val="6"/>
              </w:numPr>
              <w:rPr>
                <w:rFonts w:ascii="Arial" w:hAnsi="Arial" w:cs="Arial"/>
                <w:sz w:val="20"/>
              </w:rPr>
            </w:pPr>
            <w:r>
              <w:rPr>
                <w:rFonts w:ascii="Arial" w:hAnsi="Arial" w:cs="Arial"/>
                <w:sz w:val="20"/>
              </w:rPr>
              <w:t>Reduce</w:t>
            </w:r>
            <w:r w:rsidR="00703224" w:rsidRPr="00703224">
              <w:rPr>
                <w:rFonts w:ascii="Arial" w:hAnsi="Arial" w:cs="Arial"/>
                <w:sz w:val="20"/>
              </w:rPr>
              <w:t xml:space="preserve"> </w:t>
            </w:r>
            <w:r>
              <w:rPr>
                <w:rFonts w:ascii="Arial" w:hAnsi="Arial" w:cs="Arial"/>
                <w:sz w:val="20"/>
              </w:rPr>
              <w:t>hospital referral/</w:t>
            </w:r>
            <w:r w:rsidR="00703224" w:rsidRPr="00703224">
              <w:rPr>
                <w:rFonts w:ascii="Arial" w:hAnsi="Arial" w:cs="Arial"/>
                <w:sz w:val="20"/>
              </w:rPr>
              <w:t>outpatient appointments;</w:t>
            </w:r>
          </w:p>
          <w:p w:rsidR="00703224" w:rsidRPr="00703224" w:rsidRDefault="00703224" w:rsidP="00703224">
            <w:pPr>
              <w:pStyle w:val="ListParagraph"/>
              <w:numPr>
                <w:ilvl w:val="0"/>
                <w:numId w:val="6"/>
              </w:numPr>
              <w:rPr>
                <w:rFonts w:ascii="Arial" w:hAnsi="Arial" w:cs="Arial"/>
                <w:sz w:val="20"/>
              </w:rPr>
            </w:pPr>
            <w:r w:rsidRPr="00703224">
              <w:rPr>
                <w:rFonts w:ascii="Arial" w:hAnsi="Arial" w:cs="Arial"/>
                <w:sz w:val="20"/>
              </w:rPr>
              <w:t xml:space="preserve">To clearly identify the number of patients </w:t>
            </w:r>
            <w:r w:rsidR="000B1121">
              <w:rPr>
                <w:rFonts w:ascii="Arial" w:hAnsi="Arial" w:cs="Arial"/>
                <w:sz w:val="20"/>
              </w:rPr>
              <w:t>presenting to primary care with this condition;</w:t>
            </w:r>
          </w:p>
          <w:p w:rsidR="002937AD" w:rsidRPr="0030021D" w:rsidRDefault="00703224" w:rsidP="0030021D">
            <w:pPr>
              <w:pStyle w:val="ListParagraph"/>
              <w:numPr>
                <w:ilvl w:val="0"/>
                <w:numId w:val="6"/>
              </w:numPr>
              <w:rPr>
                <w:rFonts w:ascii="Arial" w:hAnsi="Arial" w:cs="Arial"/>
                <w:sz w:val="20"/>
              </w:rPr>
            </w:pPr>
            <w:r w:rsidRPr="00703224">
              <w:rPr>
                <w:rFonts w:ascii="Arial" w:hAnsi="Arial" w:cs="Arial"/>
                <w:sz w:val="20"/>
              </w:rPr>
              <w:lastRenderedPageBreak/>
              <w:t>Increased levels of patient satisfaction.</w:t>
            </w: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3.</w:t>
            </w:r>
            <w:r w:rsidRPr="00E24B8C">
              <w:rPr>
                <w:rFonts w:ascii="Arial" w:eastAsia="Arial" w:hAnsi="Arial" w:cs="Arial"/>
                <w:b/>
                <w:color w:val="F79546"/>
                <w:position w:val="-1"/>
                <w:szCs w:val="24"/>
                <w:lang w:val="en-GB" w:eastAsia="en-US"/>
              </w:rPr>
              <w:tab/>
              <w:t>Scope</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810D5" w:rsidRDefault="00235D08" w:rsidP="009D096C">
            <w:pPr>
              <w:spacing w:after="0"/>
              <w:rPr>
                <w:rFonts w:ascii="Arial" w:hAnsi="Arial" w:cs="Arial"/>
                <w:b/>
                <w:sz w:val="20"/>
              </w:rPr>
            </w:pPr>
            <w:r w:rsidRPr="00A810D5">
              <w:rPr>
                <w:rFonts w:ascii="Arial" w:hAnsi="Arial" w:cs="Arial"/>
                <w:b/>
                <w:sz w:val="20"/>
              </w:rPr>
              <w:t>3.1</w:t>
            </w:r>
            <w:r w:rsidRPr="00A810D5">
              <w:rPr>
                <w:rFonts w:ascii="Arial" w:hAnsi="Arial" w:cs="Arial"/>
                <w:b/>
                <w:sz w:val="20"/>
              </w:rPr>
              <w:tab/>
              <w:t>Aims and objectives of service</w:t>
            </w:r>
          </w:p>
          <w:p w:rsidR="00235D08" w:rsidRDefault="00235D08" w:rsidP="002937AD">
            <w:pPr>
              <w:spacing w:after="0"/>
              <w:rPr>
                <w:rFonts w:ascii="Arial" w:hAnsi="Arial" w:cs="Arial"/>
                <w:sz w:val="20"/>
              </w:rPr>
            </w:pPr>
          </w:p>
          <w:p w:rsidR="00703224" w:rsidRDefault="00703224" w:rsidP="00703224">
            <w:pPr>
              <w:rPr>
                <w:rFonts w:ascii="Arial" w:hAnsi="Arial" w:cs="Arial"/>
                <w:sz w:val="20"/>
              </w:rPr>
            </w:pPr>
            <w:r>
              <w:rPr>
                <w:rFonts w:ascii="Arial" w:hAnsi="Arial" w:cs="Arial"/>
                <w:sz w:val="20"/>
              </w:rPr>
              <w:t xml:space="preserve">The aims of this service are to provide a service for the removal of ear wax </w:t>
            </w:r>
            <w:r w:rsidR="00153451">
              <w:rPr>
                <w:rFonts w:ascii="Arial" w:hAnsi="Arial" w:cs="Arial"/>
                <w:sz w:val="20"/>
              </w:rPr>
              <w:t>in a general practice setting.</w:t>
            </w:r>
          </w:p>
          <w:p w:rsidR="00703224" w:rsidRDefault="00703224" w:rsidP="00703224">
            <w:pPr>
              <w:spacing w:after="0"/>
              <w:rPr>
                <w:rFonts w:ascii="Arial" w:eastAsia="Times New Roman" w:hAnsi="Arial" w:cs="Arial"/>
                <w:sz w:val="20"/>
                <w:lang w:val="en-GB" w:eastAsia="en-GB"/>
              </w:rPr>
            </w:pPr>
            <w:r>
              <w:rPr>
                <w:rFonts w:ascii="Arial" w:eastAsia="Times New Roman" w:hAnsi="Arial" w:cs="Arial"/>
                <w:sz w:val="20"/>
                <w:lang w:val="en-GB" w:eastAsia="en-GB"/>
              </w:rPr>
              <w:t xml:space="preserve">This service would be available to </w:t>
            </w:r>
            <w:r w:rsidR="00153451">
              <w:rPr>
                <w:rFonts w:ascii="Arial" w:eastAsia="Times New Roman" w:hAnsi="Arial" w:cs="Arial"/>
                <w:sz w:val="20"/>
                <w:lang w:val="en-GB" w:eastAsia="en-GB"/>
              </w:rPr>
              <w:t xml:space="preserve">all patients registered with  Telford and Wrekin GP practices, appropriate temporary residents and entrenched or transient homeless </w:t>
            </w:r>
            <w:r>
              <w:rPr>
                <w:rFonts w:ascii="Arial" w:eastAsia="Times New Roman" w:hAnsi="Arial" w:cs="Arial"/>
                <w:sz w:val="20"/>
                <w:lang w:val="en-GB" w:eastAsia="en-GB"/>
              </w:rPr>
              <w:t>and would:</w:t>
            </w:r>
          </w:p>
          <w:p w:rsidR="00703224" w:rsidRDefault="00703224" w:rsidP="00703224">
            <w:pPr>
              <w:spacing w:after="0"/>
              <w:jc w:val="both"/>
              <w:rPr>
                <w:rFonts w:ascii="Arial" w:eastAsia="Times New Roman" w:hAnsi="Arial" w:cs="Times New Roman"/>
                <w:sz w:val="20"/>
                <w:lang w:val="en-GB" w:eastAsia="en-GB"/>
              </w:rPr>
            </w:pPr>
          </w:p>
          <w:p w:rsidR="00153451" w:rsidRDefault="00153451" w:rsidP="00703224">
            <w:pPr>
              <w:pStyle w:val="ListParagraph"/>
              <w:numPr>
                <w:ilvl w:val="0"/>
                <w:numId w:val="5"/>
              </w:numPr>
              <w:ind w:left="1168"/>
              <w:jc w:val="both"/>
              <w:rPr>
                <w:rFonts w:ascii="Arial" w:hAnsi="Arial"/>
                <w:sz w:val="20"/>
              </w:rPr>
            </w:pPr>
            <w:r>
              <w:rPr>
                <w:rFonts w:ascii="Arial" w:hAnsi="Arial"/>
                <w:sz w:val="20"/>
              </w:rPr>
              <w:t>Offer choice for all patients</w:t>
            </w:r>
          </w:p>
          <w:p w:rsidR="00703224" w:rsidRPr="00703224" w:rsidRDefault="00703224" w:rsidP="00703224">
            <w:pPr>
              <w:pStyle w:val="ListParagraph"/>
              <w:numPr>
                <w:ilvl w:val="0"/>
                <w:numId w:val="5"/>
              </w:numPr>
              <w:ind w:left="1168"/>
              <w:jc w:val="both"/>
              <w:rPr>
                <w:rFonts w:ascii="Arial" w:hAnsi="Arial"/>
                <w:sz w:val="20"/>
              </w:rPr>
            </w:pPr>
            <w:r w:rsidRPr="00703224">
              <w:rPr>
                <w:rFonts w:ascii="Arial" w:hAnsi="Arial"/>
                <w:sz w:val="20"/>
              </w:rPr>
              <w:t xml:space="preserve">Provide </w:t>
            </w:r>
            <w:r w:rsidR="00153451">
              <w:rPr>
                <w:rFonts w:ascii="Arial" w:hAnsi="Arial"/>
                <w:sz w:val="20"/>
              </w:rPr>
              <w:t xml:space="preserve">care that is </w:t>
            </w:r>
            <w:r w:rsidRPr="00703224">
              <w:rPr>
                <w:rFonts w:ascii="Arial" w:hAnsi="Arial"/>
                <w:sz w:val="20"/>
              </w:rPr>
              <w:t>convenient for all patients;</w:t>
            </w:r>
          </w:p>
          <w:p w:rsidR="00153451" w:rsidRDefault="00703224" w:rsidP="00703224">
            <w:pPr>
              <w:pStyle w:val="ListParagraph"/>
              <w:numPr>
                <w:ilvl w:val="0"/>
                <w:numId w:val="5"/>
              </w:numPr>
              <w:ind w:left="1168"/>
              <w:jc w:val="both"/>
              <w:rPr>
                <w:rFonts w:ascii="Arial" w:hAnsi="Arial"/>
                <w:sz w:val="20"/>
              </w:rPr>
            </w:pPr>
            <w:r w:rsidRPr="00703224">
              <w:rPr>
                <w:rFonts w:ascii="Arial" w:hAnsi="Arial"/>
                <w:sz w:val="20"/>
              </w:rPr>
              <w:t>Provide a cost effective alternative to secondary care supporting national and local CCG priorities</w:t>
            </w:r>
          </w:p>
          <w:p w:rsidR="00703224" w:rsidRPr="00703224" w:rsidRDefault="00153451" w:rsidP="00703224">
            <w:pPr>
              <w:pStyle w:val="ListParagraph"/>
              <w:numPr>
                <w:ilvl w:val="0"/>
                <w:numId w:val="5"/>
              </w:numPr>
              <w:ind w:left="1168"/>
              <w:jc w:val="both"/>
              <w:rPr>
                <w:rFonts w:ascii="Arial" w:hAnsi="Arial"/>
                <w:sz w:val="20"/>
              </w:rPr>
            </w:pPr>
            <w:r>
              <w:rPr>
                <w:rFonts w:ascii="Arial" w:hAnsi="Arial"/>
                <w:sz w:val="20"/>
              </w:rPr>
              <w:t>Ensure value for money for the public purse</w:t>
            </w:r>
          </w:p>
          <w:p w:rsidR="00141F0D" w:rsidRPr="00141F0D" w:rsidRDefault="00141F0D" w:rsidP="00141F0D">
            <w:pPr>
              <w:spacing w:after="0"/>
              <w:rPr>
                <w:rFonts w:ascii="Arial" w:hAnsi="Arial" w:cs="Arial"/>
                <w:sz w:val="20"/>
              </w:rPr>
            </w:pPr>
          </w:p>
          <w:p w:rsidR="00141F0D" w:rsidRPr="00396251" w:rsidRDefault="00141F0D" w:rsidP="00141F0D">
            <w:pPr>
              <w:spacing w:after="0"/>
              <w:rPr>
                <w:rFonts w:ascii="Arial" w:hAnsi="Arial" w:cs="Arial"/>
                <w:b/>
                <w:sz w:val="20"/>
              </w:rPr>
            </w:pPr>
            <w:r w:rsidRPr="00396251">
              <w:rPr>
                <w:rFonts w:ascii="Arial" w:hAnsi="Arial" w:cs="Arial"/>
                <w:b/>
                <w:sz w:val="20"/>
              </w:rPr>
              <w:t>3.2      Service description/care pathway</w:t>
            </w:r>
          </w:p>
          <w:p w:rsidR="00141F0D" w:rsidRDefault="00141F0D" w:rsidP="002937AD">
            <w:pPr>
              <w:spacing w:after="0"/>
              <w:rPr>
                <w:rFonts w:ascii="Arial" w:hAnsi="Arial" w:cs="Arial"/>
                <w:sz w:val="20"/>
              </w:rPr>
            </w:pPr>
          </w:p>
          <w:p w:rsidR="00703224" w:rsidRDefault="00703224" w:rsidP="00703224">
            <w:pPr>
              <w:rPr>
                <w:rFonts w:ascii="Arial" w:hAnsi="Arial" w:cs="Arial"/>
                <w:b/>
                <w:sz w:val="20"/>
              </w:rPr>
            </w:pPr>
            <w:r>
              <w:rPr>
                <w:rFonts w:ascii="Arial" w:hAnsi="Arial" w:cs="Arial"/>
                <w:b/>
                <w:sz w:val="20"/>
              </w:rPr>
              <w:t>3.2.1 Direct Service Delivery</w:t>
            </w:r>
          </w:p>
          <w:p w:rsidR="00703224" w:rsidRPr="008E7292" w:rsidRDefault="00703224" w:rsidP="00703224">
            <w:pPr>
              <w:rPr>
                <w:rFonts w:ascii="Arial" w:hAnsi="Arial" w:cs="Arial"/>
                <w:sz w:val="20"/>
              </w:rPr>
            </w:pPr>
            <w:r w:rsidRPr="008E7292">
              <w:rPr>
                <w:rFonts w:ascii="Arial" w:hAnsi="Arial" w:cs="Arial"/>
                <w:sz w:val="20"/>
              </w:rPr>
              <w:t xml:space="preserve">PRINCIPLES - Irrigating the ear is carried out to:  </w:t>
            </w:r>
          </w:p>
          <w:p w:rsidR="00703224" w:rsidRPr="008E7292" w:rsidRDefault="00703224" w:rsidP="00703224">
            <w:pPr>
              <w:pStyle w:val="ListParagraph"/>
              <w:numPr>
                <w:ilvl w:val="0"/>
                <w:numId w:val="14"/>
              </w:numPr>
              <w:rPr>
                <w:rFonts w:ascii="Arial" w:hAnsi="Arial" w:cs="Arial"/>
                <w:sz w:val="20"/>
              </w:rPr>
            </w:pPr>
            <w:r w:rsidRPr="008E7292">
              <w:rPr>
                <w:rFonts w:ascii="Arial" w:hAnsi="Arial" w:cs="Arial"/>
                <w:sz w:val="20"/>
              </w:rPr>
              <w:t xml:space="preserve">Facilitate the removal of cerumen and foreign bodies which are not hygroscopic, from the external auditory meatus. Hygroscopic matter (such as peas and lentils) will absorb the water and expand making removal more difficult.  </w:t>
            </w:r>
          </w:p>
          <w:p w:rsidR="00703224" w:rsidRPr="008E7292" w:rsidRDefault="00703224" w:rsidP="00703224">
            <w:pPr>
              <w:pStyle w:val="ListParagraph"/>
              <w:numPr>
                <w:ilvl w:val="0"/>
                <w:numId w:val="14"/>
              </w:numPr>
              <w:rPr>
                <w:rFonts w:ascii="Arial" w:hAnsi="Arial" w:cs="Arial"/>
                <w:sz w:val="20"/>
              </w:rPr>
            </w:pPr>
            <w:r w:rsidRPr="008E7292">
              <w:rPr>
                <w:rFonts w:ascii="Arial" w:hAnsi="Arial" w:cs="Arial"/>
                <w:sz w:val="20"/>
              </w:rPr>
              <w:t xml:space="preserve">Remove discharge, keratin or debris from the external auditory meatus. </w:t>
            </w:r>
          </w:p>
          <w:p w:rsidR="00703224" w:rsidRPr="008E7292" w:rsidRDefault="00703224" w:rsidP="00703224">
            <w:pPr>
              <w:pStyle w:val="ListParagraph"/>
              <w:rPr>
                <w:rFonts w:ascii="Arial" w:hAnsi="Arial" w:cs="Arial"/>
                <w:sz w:val="20"/>
              </w:rPr>
            </w:pPr>
          </w:p>
          <w:p w:rsidR="00703224" w:rsidRPr="008E7292" w:rsidRDefault="00703224" w:rsidP="00703224">
            <w:pPr>
              <w:rPr>
                <w:rFonts w:ascii="Arial" w:hAnsi="Arial" w:cs="Arial"/>
                <w:sz w:val="20"/>
              </w:rPr>
            </w:pPr>
            <w:r w:rsidRPr="008E7292">
              <w:rPr>
                <w:rFonts w:ascii="Arial" w:hAnsi="Arial" w:cs="Arial"/>
                <w:sz w:val="20"/>
              </w:rPr>
              <w:t xml:space="preserve">An individual assessment should be made of every patient to ensure that they are appropriate for ear irrigation to be carried out. </w:t>
            </w:r>
          </w:p>
          <w:p w:rsidR="00703224" w:rsidRPr="008E7292" w:rsidRDefault="00703224" w:rsidP="00703224">
            <w:pPr>
              <w:rPr>
                <w:rFonts w:ascii="Arial" w:hAnsi="Arial" w:cs="Arial"/>
                <w:sz w:val="20"/>
              </w:rPr>
            </w:pPr>
            <w:r w:rsidRPr="008E7292">
              <w:rPr>
                <w:rFonts w:ascii="Arial" w:hAnsi="Arial" w:cs="Arial"/>
                <w:sz w:val="20"/>
              </w:rPr>
              <w:t xml:space="preserve">REASONS for using this procedure - In order to:  </w:t>
            </w:r>
          </w:p>
          <w:p w:rsidR="00703224" w:rsidRPr="008E7292" w:rsidRDefault="00703224" w:rsidP="00703224">
            <w:pPr>
              <w:pStyle w:val="ListParagraph"/>
              <w:numPr>
                <w:ilvl w:val="0"/>
                <w:numId w:val="12"/>
              </w:numPr>
              <w:rPr>
                <w:rFonts w:ascii="Arial" w:hAnsi="Arial" w:cs="Arial"/>
                <w:sz w:val="20"/>
              </w:rPr>
            </w:pPr>
            <w:r w:rsidRPr="008E7292">
              <w:rPr>
                <w:rFonts w:ascii="Arial" w:hAnsi="Arial" w:cs="Arial"/>
                <w:sz w:val="20"/>
              </w:rPr>
              <w:t xml:space="preserve">Correctly treat otitis externa where the meatus is obscured by debris  </w:t>
            </w:r>
          </w:p>
          <w:p w:rsidR="00703224" w:rsidRPr="008E7292" w:rsidRDefault="00703224" w:rsidP="00703224">
            <w:pPr>
              <w:pStyle w:val="ListParagraph"/>
              <w:numPr>
                <w:ilvl w:val="0"/>
                <w:numId w:val="12"/>
              </w:numPr>
              <w:rPr>
                <w:rFonts w:ascii="Arial" w:hAnsi="Arial" w:cs="Arial"/>
                <w:sz w:val="20"/>
              </w:rPr>
            </w:pPr>
            <w:r w:rsidRPr="008E7292">
              <w:rPr>
                <w:rFonts w:ascii="Arial" w:hAnsi="Arial" w:cs="Arial"/>
                <w:sz w:val="20"/>
              </w:rPr>
              <w:t xml:space="preserve">Improve conduction of sound to the tympanic membrane when it is blocked by wax </w:t>
            </w:r>
          </w:p>
          <w:p w:rsidR="00703224" w:rsidRPr="008E7292" w:rsidRDefault="00703224" w:rsidP="00703224">
            <w:pPr>
              <w:pStyle w:val="ListParagraph"/>
              <w:numPr>
                <w:ilvl w:val="0"/>
                <w:numId w:val="12"/>
              </w:numPr>
              <w:rPr>
                <w:rFonts w:ascii="Arial" w:hAnsi="Arial" w:cs="Arial"/>
                <w:sz w:val="20"/>
              </w:rPr>
            </w:pPr>
            <w:r w:rsidRPr="008E7292">
              <w:rPr>
                <w:rFonts w:ascii="Arial" w:hAnsi="Arial" w:cs="Arial"/>
                <w:sz w:val="20"/>
              </w:rPr>
              <w:t>Remove debris to allow examination of the external auditory meatus and the tympanic membrane.</w:t>
            </w:r>
          </w:p>
          <w:p w:rsidR="00703224" w:rsidRPr="008E7292" w:rsidRDefault="00703224" w:rsidP="00703224">
            <w:pPr>
              <w:pStyle w:val="ListParagraph"/>
              <w:rPr>
                <w:rFonts w:ascii="Arial" w:hAnsi="Arial" w:cs="Arial"/>
                <w:sz w:val="20"/>
              </w:rPr>
            </w:pPr>
          </w:p>
          <w:p w:rsidR="002D1352" w:rsidRDefault="002D1352" w:rsidP="00703224">
            <w:pPr>
              <w:pStyle w:val="ListParagraph"/>
              <w:rPr>
                <w:rFonts w:ascii="Arial" w:hAnsi="Arial" w:cs="Arial"/>
                <w:sz w:val="20"/>
              </w:rPr>
            </w:pPr>
          </w:p>
          <w:p w:rsidR="00703224" w:rsidRDefault="00703224" w:rsidP="00703224">
            <w:pPr>
              <w:rPr>
                <w:rFonts w:ascii="Arial" w:hAnsi="Arial" w:cs="Arial"/>
                <w:b/>
                <w:sz w:val="20"/>
              </w:rPr>
            </w:pPr>
            <w:r>
              <w:rPr>
                <w:rFonts w:ascii="Arial" w:hAnsi="Arial" w:cs="Arial"/>
                <w:b/>
                <w:sz w:val="20"/>
              </w:rPr>
              <w:t>3.2.2 Data Collection</w:t>
            </w:r>
          </w:p>
          <w:p w:rsidR="00703224" w:rsidRDefault="00703224" w:rsidP="00703224">
            <w:pPr>
              <w:pStyle w:val="ListParagraph"/>
              <w:numPr>
                <w:ilvl w:val="0"/>
                <w:numId w:val="11"/>
              </w:numPr>
              <w:rPr>
                <w:rFonts w:ascii="Arial" w:hAnsi="Arial" w:cs="Arial"/>
                <w:sz w:val="20"/>
              </w:rPr>
            </w:pPr>
            <w:r>
              <w:rPr>
                <w:rFonts w:ascii="Arial" w:hAnsi="Arial" w:cs="Arial"/>
                <w:sz w:val="20"/>
              </w:rPr>
              <w:t xml:space="preserve">Production of an appropriate GP record. Adequate recording should be made regarding the patient’s clinical history, problems with the procedure, follow-up arrangements and onward referral details. </w:t>
            </w:r>
          </w:p>
          <w:p w:rsidR="00703224" w:rsidRDefault="00703224" w:rsidP="00703224">
            <w:pPr>
              <w:pStyle w:val="ListParagraph"/>
              <w:numPr>
                <w:ilvl w:val="0"/>
                <w:numId w:val="11"/>
              </w:numPr>
              <w:rPr>
                <w:rFonts w:ascii="Arial" w:hAnsi="Arial" w:cs="Arial"/>
                <w:sz w:val="20"/>
              </w:rPr>
            </w:pPr>
            <w:r>
              <w:rPr>
                <w:rFonts w:ascii="Arial" w:hAnsi="Arial" w:cs="Arial"/>
                <w:sz w:val="20"/>
              </w:rPr>
              <w:t>If the patient is not registered with the practice providing the service, the providing practice must ensure that the patient’s registered practice is given all appropriate clinical details for inclusion into the patient’s notes.</w:t>
            </w:r>
          </w:p>
          <w:p w:rsidR="00703224" w:rsidRDefault="00703224" w:rsidP="00703224">
            <w:pPr>
              <w:pStyle w:val="ListParagraph"/>
              <w:rPr>
                <w:rFonts w:ascii="Arial" w:hAnsi="Arial" w:cs="Arial"/>
                <w:sz w:val="20"/>
              </w:rPr>
            </w:pPr>
          </w:p>
          <w:p w:rsidR="00703224" w:rsidRDefault="00703224" w:rsidP="00703224">
            <w:pPr>
              <w:rPr>
                <w:rFonts w:ascii="Arial" w:hAnsi="Arial" w:cs="Arial"/>
                <w:b/>
                <w:sz w:val="20"/>
              </w:rPr>
            </w:pPr>
            <w:r>
              <w:rPr>
                <w:rFonts w:ascii="Arial" w:hAnsi="Arial" w:cs="Arial"/>
                <w:b/>
                <w:sz w:val="20"/>
              </w:rPr>
              <w:t>3.2.3 Facilities</w:t>
            </w:r>
          </w:p>
          <w:p w:rsidR="00703224" w:rsidRDefault="00703224" w:rsidP="00703224">
            <w:pPr>
              <w:pStyle w:val="ListParagraph"/>
              <w:numPr>
                <w:ilvl w:val="0"/>
                <w:numId w:val="13"/>
              </w:numPr>
              <w:rPr>
                <w:rFonts w:ascii="Arial" w:hAnsi="Arial" w:cs="Arial"/>
                <w:sz w:val="20"/>
              </w:rPr>
            </w:pPr>
            <w:r w:rsidRPr="00703224">
              <w:rPr>
                <w:rFonts w:ascii="Arial" w:hAnsi="Arial" w:cs="Arial"/>
                <w:sz w:val="20"/>
              </w:rPr>
              <w:t>Provision of adequate equipment.</w:t>
            </w:r>
          </w:p>
          <w:p w:rsidR="00703224" w:rsidRPr="00703224" w:rsidRDefault="00703224" w:rsidP="00703224">
            <w:pPr>
              <w:pStyle w:val="ListParagraph"/>
              <w:ind w:left="1080"/>
              <w:rPr>
                <w:rFonts w:ascii="Arial" w:hAnsi="Arial" w:cs="Arial"/>
                <w:sz w:val="20"/>
              </w:rPr>
            </w:pPr>
            <w:r w:rsidRPr="00703224">
              <w:rPr>
                <w:rFonts w:ascii="Arial" w:hAnsi="Arial" w:cs="Arial"/>
                <w:sz w:val="20"/>
              </w:rPr>
              <w:t xml:space="preserve">  </w:t>
            </w:r>
          </w:p>
          <w:p w:rsidR="00703224" w:rsidRDefault="00703224" w:rsidP="00703224">
            <w:pPr>
              <w:rPr>
                <w:rFonts w:ascii="Arial" w:hAnsi="Arial" w:cs="Arial"/>
                <w:b/>
                <w:sz w:val="20"/>
              </w:rPr>
            </w:pPr>
            <w:r>
              <w:rPr>
                <w:rFonts w:ascii="Arial" w:hAnsi="Arial" w:cs="Arial"/>
                <w:b/>
                <w:sz w:val="20"/>
              </w:rPr>
              <w:t>3.2.4 Training</w:t>
            </w:r>
          </w:p>
          <w:p w:rsidR="00703224" w:rsidRDefault="00703224" w:rsidP="00703224">
            <w:pPr>
              <w:pStyle w:val="ListParagraph"/>
              <w:numPr>
                <w:ilvl w:val="0"/>
                <w:numId w:val="13"/>
              </w:numPr>
              <w:rPr>
                <w:rFonts w:ascii="Arial" w:hAnsi="Arial" w:cs="Arial"/>
                <w:sz w:val="20"/>
              </w:rPr>
            </w:pPr>
            <w:r w:rsidRPr="00703224">
              <w:rPr>
                <w:rFonts w:ascii="Arial" w:hAnsi="Arial" w:cs="Arial"/>
                <w:sz w:val="20"/>
              </w:rPr>
              <w:t>Practitioners undertaking this procedure should have un</w:t>
            </w:r>
            <w:r w:rsidR="00153451">
              <w:rPr>
                <w:rFonts w:ascii="Arial" w:hAnsi="Arial" w:cs="Arial"/>
                <w:sz w:val="20"/>
              </w:rPr>
              <w:t xml:space="preserve">dertaken appropriate training </w:t>
            </w:r>
            <w:r w:rsidR="00BD4116">
              <w:rPr>
                <w:rFonts w:ascii="Arial" w:hAnsi="Arial" w:cs="Arial"/>
                <w:sz w:val="20"/>
              </w:rPr>
              <w:t>using NICE guidelines as a working</w:t>
            </w:r>
            <w:r w:rsidR="002D1352">
              <w:rPr>
                <w:rFonts w:ascii="Arial" w:hAnsi="Arial" w:cs="Arial"/>
                <w:sz w:val="20"/>
              </w:rPr>
              <w:t xml:space="preserve"> example of best practice. </w:t>
            </w:r>
          </w:p>
          <w:p w:rsidR="00703224" w:rsidRPr="00703224" w:rsidRDefault="00703224" w:rsidP="00703224">
            <w:pPr>
              <w:pStyle w:val="ListParagraph"/>
              <w:ind w:left="1080"/>
              <w:rPr>
                <w:rFonts w:ascii="Arial" w:hAnsi="Arial" w:cs="Arial"/>
                <w:sz w:val="20"/>
              </w:rPr>
            </w:pPr>
          </w:p>
          <w:p w:rsidR="00AC3329" w:rsidRDefault="00153451" w:rsidP="00703224">
            <w:pPr>
              <w:rPr>
                <w:rFonts w:ascii="Arial" w:hAnsi="Arial" w:cs="Arial"/>
                <w:b/>
                <w:sz w:val="20"/>
              </w:rPr>
            </w:pPr>
            <w:r>
              <w:rPr>
                <w:rFonts w:ascii="Arial" w:hAnsi="Arial" w:cs="Arial"/>
                <w:b/>
                <w:sz w:val="20"/>
              </w:rPr>
              <w:t>3.2.5</w:t>
            </w:r>
            <w:r w:rsidR="00703224">
              <w:rPr>
                <w:rFonts w:ascii="Arial" w:hAnsi="Arial" w:cs="Arial"/>
                <w:b/>
                <w:sz w:val="20"/>
              </w:rPr>
              <w:t xml:space="preserve"> </w:t>
            </w:r>
            <w:r w:rsidR="00AC3329">
              <w:rPr>
                <w:rFonts w:ascii="Arial" w:hAnsi="Arial" w:cs="Arial"/>
                <w:b/>
                <w:sz w:val="20"/>
              </w:rPr>
              <w:t>Annual Review</w:t>
            </w:r>
          </w:p>
          <w:p w:rsidR="00AC3329" w:rsidRDefault="00AC3329" w:rsidP="00703224">
            <w:pPr>
              <w:rPr>
                <w:rFonts w:ascii="Arial" w:hAnsi="Arial" w:cs="Arial"/>
                <w:sz w:val="20"/>
              </w:rPr>
            </w:pPr>
            <w:r w:rsidRPr="00AC3329">
              <w:rPr>
                <w:rFonts w:ascii="Arial" w:hAnsi="Arial" w:cs="Arial"/>
                <w:sz w:val="20"/>
              </w:rPr>
              <w:t xml:space="preserve">All practices </w:t>
            </w:r>
            <w:r>
              <w:rPr>
                <w:rFonts w:ascii="Arial" w:hAnsi="Arial" w:cs="Arial"/>
                <w:sz w:val="20"/>
              </w:rPr>
              <w:t xml:space="preserve">undertaking this service conduct an annual review to include an audit of: </w:t>
            </w:r>
          </w:p>
          <w:p w:rsidR="00AC3329" w:rsidRDefault="00AC3329" w:rsidP="00AC3329">
            <w:pPr>
              <w:pStyle w:val="ListParagraph"/>
              <w:numPr>
                <w:ilvl w:val="0"/>
                <w:numId w:val="18"/>
              </w:numPr>
              <w:rPr>
                <w:rFonts w:ascii="Arial" w:hAnsi="Arial" w:cs="Arial"/>
                <w:sz w:val="20"/>
              </w:rPr>
            </w:pPr>
            <w:r>
              <w:rPr>
                <w:rFonts w:ascii="Arial" w:hAnsi="Arial" w:cs="Arial"/>
                <w:sz w:val="20"/>
              </w:rPr>
              <w:lastRenderedPageBreak/>
              <w:t>t</w:t>
            </w:r>
            <w:r w:rsidRPr="00AC3329">
              <w:rPr>
                <w:rFonts w:ascii="Arial" w:hAnsi="Arial" w:cs="Arial"/>
                <w:sz w:val="20"/>
              </w:rPr>
              <w:t>he register</w:t>
            </w:r>
            <w:r>
              <w:rPr>
                <w:rFonts w:ascii="Arial" w:hAnsi="Arial" w:cs="Arial"/>
                <w:sz w:val="20"/>
              </w:rPr>
              <w:t xml:space="preserve"> of patients</w:t>
            </w:r>
          </w:p>
          <w:p w:rsidR="00AC3329" w:rsidRDefault="00AC3329" w:rsidP="00AC3329">
            <w:pPr>
              <w:pStyle w:val="ListParagraph"/>
              <w:numPr>
                <w:ilvl w:val="0"/>
                <w:numId w:val="18"/>
              </w:numPr>
              <w:rPr>
                <w:rFonts w:ascii="Arial" w:hAnsi="Arial" w:cs="Arial"/>
                <w:sz w:val="20"/>
              </w:rPr>
            </w:pPr>
            <w:r>
              <w:rPr>
                <w:rFonts w:ascii="Arial" w:hAnsi="Arial" w:cs="Arial"/>
                <w:sz w:val="20"/>
              </w:rPr>
              <w:t>continuous usage rates</w:t>
            </w:r>
          </w:p>
          <w:p w:rsidR="00AC3329" w:rsidRDefault="00AC3329" w:rsidP="00AC3329">
            <w:pPr>
              <w:pStyle w:val="ListParagraph"/>
              <w:numPr>
                <w:ilvl w:val="0"/>
                <w:numId w:val="18"/>
              </w:numPr>
              <w:rPr>
                <w:rFonts w:ascii="Arial" w:hAnsi="Arial" w:cs="Arial"/>
                <w:sz w:val="20"/>
              </w:rPr>
            </w:pPr>
            <w:r>
              <w:rPr>
                <w:rFonts w:ascii="Arial" w:hAnsi="Arial" w:cs="Arial"/>
                <w:sz w:val="20"/>
              </w:rPr>
              <w:t>reasons for removal</w:t>
            </w:r>
          </w:p>
          <w:p w:rsidR="00AC3329" w:rsidRDefault="00AC3329" w:rsidP="00AC3329">
            <w:pPr>
              <w:pStyle w:val="ListParagraph"/>
              <w:numPr>
                <w:ilvl w:val="0"/>
                <w:numId w:val="18"/>
              </w:numPr>
              <w:rPr>
                <w:rFonts w:ascii="Arial" w:hAnsi="Arial" w:cs="Arial"/>
                <w:sz w:val="20"/>
              </w:rPr>
            </w:pPr>
            <w:r>
              <w:rPr>
                <w:rFonts w:ascii="Arial" w:hAnsi="Arial" w:cs="Arial"/>
                <w:sz w:val="20"/>
              </w:rPr>
              <w:t>complications</w:t>
            </w:r>
          </w:p>
          <w:p w:rsidR="00AC3329" w:rsidRDefault="00AC3329" w:rsidP="00703224">
            <w:pPr>
              <w:pStyle w:val="ListParagraph"/>
              <w:numPr>
                <w:ilvl w:val="0"/>
                <w:numId w:val="18"/>
              </w:numPr>
              <w:rPr>
                <w:rFonts w:ascii="Arial" w:hAnsi="Arial" w:cs="Arial"/>
                <w:sz w:val="20"/>
              </w:rPr>
            </w:pPr>
            <w:r w:rsidRPr="00AC3329">
              <w:rPr>
                <w:rFonts w:ascii="Arial" w:hAnsi="Arial" w:cs="Arial"/>
                <w:sz w:val="20"/>
              </w:rPr>
              <w:t>onward referrals</w:t>
            </w:r>
          </w:p>
          <w:p w:rsidR="00AC3329" w:rsidRDefault="00AC3329" w:rsidP="00AC3329">
            <w:pPr>
              <w:rPr>
                <w:rFonts w:ascii="Arial" w:hAnsi="Arial" w:cs="Arial"/>
                <w:sz w:val="20"/>
              </w:rPr>
            </w:pPr>
          </w:p>
          <w:p w:rsidR="00703224" w:rsidRDefault="00AC3329" w:rsidP="00703224">
            <w:pPr>
              <w:rPr>
                <w:rFonts w:ascii="Arial" w:hAnsi="Arial" w:cs="Arial"/>
                <w:b/>
                <w:sz w:val="20"/>
              </w:rPr>
            </w:pPr>
            <w:r>
              <w:rPr>
                <w:rFonts w:ascii="Arial" w:hAnsi="Arial" w:cs="Arial"/>
                <w:b/>
                <w:sz w:val="20"/>
              </w:rPr>
              <w:t>3.2.6 T</w:t>
            </w:r>
            <w:r w:rsidR="00703224">
              <w:rPr>
                <w:rFonts w:ascii="Arial" w:hAnsi="Arial" w:cs="Arial"/>
                <w:b/>
                <w:sz w:val="20"/>
              </w:rPr>
              <w:t>ariffs and Codes</w:t>
            </w:r>
          </w:p>
          <w:p w:rsidR="00703224" w:rsidRDefault="00703224" w:rsidP="00703224">
            <w:pPr>
              <w:rPr>
                <w:rFonts w:ascii="Arial" w:hAnsi="Arial" w:cs="Arial"/>
                <w:sz w:val="20"/>
              </w:rPr>
            </w:pPr>
            <w:r>
              <w:rPr>
                <w:rFonts w:ascii="Arial" w:hAnsi="Arial" w:cs="Arial"/>
                <w:sz w:val="20"/>
              </w:rPr>
              <w:t xml:space="preserve">Patients included and being claimed as part of this service should be coded appropriately; for practices this is the following:  </w:t>
            </w:r>
          </w:p>
          <w:p w:rsidR="00703224" w:rsidRDefault="00703224" w:rsidP="00703224">
            <w:pPr>
              <w:pStyle w:val="ListParagraph"/>
              <w:rPr>
                <w:rFonts w:ascii="Arial" w:hAnsi="Arial" w:cs="Arial"/>
                <w:sz w:val="20"/>
              </w:rPr>
            </w:pPr>
          </w:p>
          <w:p w:rsidR="00703224" w:rsidRPr="00A73954" w:rsidRDefault="00703224" w:rsidP="00703224">
            <w:pPr>
              <w:spacing w:after="0"/>
              <w:rPr>
                <w:rFonts w:ascii="Arial" w:hAnsi="Arial" w:cs="Arial"/>
                <w:color w:val="FF0000"/>
                <w:sz w:val="20"/>
              </w:rPr>
            </w:pPr>
            <w:r>
              <w:rPr>
                <w:rFonts w:ascii="Arial" w:hAnsi="Arial" w:cs="Arial"/>
                <w:sz w:val="20"/>
              </w:rPr>
              <w:t xml:space="preserve">Fee per patient: </w:t>
            </w:r>
            <w:r w:rsidR="00AE6E56" w:rsidRPr="00AE6E56">
              <w:rPr>
                <w:rFonts w:ascii="Arial" w:hAnsi="Arial" w:cs="Arial"/>
                <w:sz w:val="20"/>
              </w:rPr>
              <w:t>25p per weighted patient population.</w:t>
            </w:r>
          </w:p>
          <w:p w:rsidR="00B5588F" w:rsidRDefault="00B5588F" w:rsidP="00703224">
            <w:pPr>
              <w:spacing w:after="0"/>
              <w:rPr>
                <w:rFonts w:ascii="Arial" w:hAnsi="Arial" w:cs="Arial"/>
                <w:sz w:val="20"/>
              </w:rPr>
            </w:pPr>
          </w:p>
          <w:p w:rsidR="00A73954" w:rsidRDefault="00B5588F" w:rsidP="00703224">
            <w:pPr>
              <w:spacing w:after="0"/>
              <w:rPr>
                <w:rFonts w:ascii="Arial" w:hAnsi="Arial" w:cs="Arial"/>
                <w:sz w:val="20"/>
              </w:rPr>
            </w:pPr>
            <w:r w:rsidRPr="00B5588F">
              <w:rPr>
                <w:rFonts w:ascii="Arial" w:hAnsi="Arial" w:cs="Arial"/>
                <w:sz w:val="20"/>
              </w:rPr>
              <w:t>Frequency of data extraction shall b</w:t>
            </w:r>
            <w:r>
              <w:rPr>
                <w:rFonts w:ascii="Arial" w:hAnsi="Arial" w:cs="Arial"/>
                <w:sz w:val="20"/>
              </w:rPr>
              <w:t xml:space="preserve">e completed on a </w:t>
            </w:r>
            <w:r w:rsidR="00414566">
              <w:rPr>
                <w:rFonts w:ascii="Arial" w:hAnsi="Arial" w:cs="Arial"/>
                <w:sz w:val="20"/>
              </w:rPr>
              <w:t xml:space="preserve">quarterly </w:t>
            </w:r>
            <w:r>
              <w:rPr>
                <w:rFonts w:ascii="Arial" w:hAnsi="Arial" w:cs="Arial"/>
                <w:sz w:val="20"/>
              </w:rPr>
              <w:t>basis.</w:t>
            </w:r>
            <w:r w:rsidR="00A73954">
              <w:rPr>
                <w:rFonts w:ascii="Arial" w:hAnsi="Arial" w:cs="Arial"/>
                <w:sz w:val="20"/>
              </w:rPr>
              <w:t xml:space="preserve">   Extraction data will be shared with practices for verification.</w:t>
            </w:r>
          </w:p>
          <w:p w:rsidR="00A73954" w:rsidRDefault="00A73954" w:rsidP="00703224">
            <w:pPr>
              <w:spacing w:after="0"/>
              <w:rPr>
                <w:rFonts w:ascii="Arial" w:hAnsi="Arial" w:cs="Arial"/>
                <w:sz w:val="20"/>
              </w:rPr>
            </w:pPr>
          </w:p>
          <w:p w:rsidR="00A73954" w:rsidRDefault="00A73954" w:rsidP="00703224">
            <w:pPr>
              <w:spacing w:after="0"/>
              <w:rPr>
                <w:rFonts w:ascii="Arial" w:hAnsi="Arial" w:cs="Arial"/>
                <w:sz w:val="20"/>
              </w:rPr>
            </w:pPr>
            <w:r>
              <w:rPr>
                <w:rFonts w:ascii="Arial" w:hAnsi="Arial" w:cs="Arial"/>
                <w:sz w:val="20"/>
              </w:rPr>
              <w:t>Signing the specification gives authority to the CCG to undertake the coding extraction on behalf of the practice for payment and audit purposes.</w:t>
            </w:r>
          </w:p>
          <w:p w:rsidR="00A73954" w:rsidRDefault="00A73954" w:rsidP="00703224">
            <w:pPr>
              <w:spacing w:after="0"/>
              <w:rPr>
                <w:rFonts w:ascii="Arial" w:hAnsi="Arial" w:cs="Arial"/>
                <w:sz w:val="20"/>
              </w:rPr>
            </w:pPr>
          </w:p>
          <w:p w:rsidR="007467D5" w:rsidRDefault="007467D5" w:rsidP="007467D5">
            <w:pPr>
              <w:spacing w:after="0"/>
              <w:rPr>
                <w:rFonts w:ascii="Arial" w:hAnsi="Arial" w:cs="Arial"/>
                <w:b/>
                <w:sz w:val="20"/>
              </w:rPr>
            </w:pPr>
            <w:r w:rsidRPr="00591BCE">
              <w:rPr>
                <w:rFonts w:ascii="Arial" w:hAnsi="Arial" w:cs="Arial"/>
                <w:b/>
                <w:sz w:val="20"/>
              </w:rPr>
              <w:t>3.2.</w:t>
            </w:r>
            <w:r>
              <w:rPr>
                <w:rFonts w:ascii="Arial" w:hAnsi="Arial" w:cs="Arial"/>
                <w:b/>
                <w:sz w:val="20"/>
              </w:rPr>
              <w:t>7</w:t>
            </w:r>
            <w:r w:rsidRPr="00591BCE">
              <w:rPr>
                <w:rFonts w:ascii="Arial" w:hAnsi="Arial" w:cs="Arial"/>
                <w:b/>
                <w:sz w:val="20"/>
              </w:rPr>
              <w:t xml:space="preserve"> Key</w:t>
            </w:r>
            <w:r>
              <w:rPr>
                <w:rFonts w:ascii="Arial" w:hAnsi="Arial" w:cs="Arial"/>
                <w:b/>
                <w:sz w:val="20"/>
              </w:rPr>
              <w:t xml:space="preserve"> Performance Indicators </w:t>
            </w:r>
          </w:p>
          <w:p w:rsidR="007467D5" w:rsidRDefault="007467D5" w:rsidP="007467D5">
            <w:pPr>
              <w:spacing w:after="0"/>
              <w:rPr>
                <w:rFonts w:ascii="Arial" w:hAnsi="Arial" w:cs="Arial"/>
                <w:b/>
                <w:sz w:val="20"/>
              </w:rPr>
            </w:pPr>
          </w:p>
          <w:p w:rsidR="007467D5" w:rsidRDefault="007467D5" w:rsidP="007467D5">
            <w:pPr>
              <w:spacing w:after="0"/>
              <w:rPr>
                <w:rFonts w:ascii="Arial" w:hAnsi="Arial" w:cs="Arial"/>
                <w:sz w:val="20"/>
              </w:rPr>
            </w:pPr>
            <w:r>
              <w:rPr>
                <w:rFonts w:ascii="Arial" w:hAnsi="Arial" w:cs="Arial"/>
                <w:sz w:val="20"/>
              </w:rPr>
              <w:t xml:space="preserve">Please see Schedule 4 Part C and Schedule 6 Part A for details of these requirements. </w:t>
            </w:r>
          </w:p>
          <w:p w:rsidR="007467D5" w:rsidRDefault="007467D5" w:rsidP="007467D5">
            <w:pPr>
              <w:spacing w:after="0"/>
              <w:rPr>
                <w:rFonts w:ascii="Arial" w:hAnsi="Arial" w:cs="Arial"/>
                <w:sz w:val="20"/>
              </w:rPr>
            </w:pPr>
          </w:p>
          <w:p w:rsidR="007467D5" w:rsidRDefault="007467D5" w:rsidP="007467D5">
            <w:pPr>
              <w:spacing w:after="0"/>
              <w:rPr>
                <w:rFonts w:ascii="Arial" w:hAnsi="Arial" w:cs="Arial"/>
                <w:b/>
                <w:sz w:val="20"/>
              </w:rPr>
            </w:pPr>
            <w:r>
              <w:rPr>
                <w:rFonts w:ascii="Arial" w:hAnsi="Arial" w:cs="Arial"/>
                <w:b/>
                <w:sz w:val="20"/>
              </w:rPr>
              <w:t xml:space="preserve">3.2.8 Equal Opportunities </w:t>
            </w:r>
          </w:p>
          <w:p w:rsidR="007467D5" w:rsidRDefault="007467D5" w:rsidP="007467D5">
            <w:pPr>
              <w:spacing w:after="0"/>
              <w:rPr>
                <w:rFonts w:ascii="Arial" w:hAnsi="Arial" w:cs="Arial"/>
                <w:sz w:val="20"/>
              </w:rPr>
            </w:pPr>
          </w:p>
          <w:p w:rsidR="007467D5" w:rsidRDefault="007467D5" w:rsidP="007467D5">
            <w:pPr>
              <w:spacing w:after="0"/>
              <w:rPr>
                <w:rFonts w:ascii="Arial" w:hAnsi="Arial" w:cs="Arial"/>
                <w:sz w:val="20"/>
              </w:rPr>
            </w:pPr>
            <w:r>
              <w:rPr>
                <w:rFonts w:ascii="Arial" w:hAnsi="Arial" w:cs="Arial"/>
                <w:sz w:val="20"/>
              </w:rPr>
              <w:t xml:space="preserve">The service provider must demonstrate how they meet equal opportunity requirements in the following areas: </w:t>
            </w:r>
          </w:p>
          <w:p w:rsidR="007467D5" w:rsidRDefault="007467D5" w:rsidP="007467D5">
            <w:pPr>
              <w:spacing w:after="0"/>
              <w:rPr>
                <w:rFonts w:ascii="Arial" w:hAnsi="Arial" w:cs="Arial"/>
                <w:sz w:val="20"/>
              </w:rPr>
            </w:pPr>
          </w:p>
          <w:p w:rsidR="007467D5" w:rsidRDefault="007467D5" w:rsidP="007467D5">
            <w:pPr>
              <w:pStyle w:val="ListParagraph"/>
              <w:numPr>
                <w:ilvl w:val="0"/>
                <w:numId w:val="19"/>
              </w:numPr>
              <w:rPr>
                <w:rFonts w:ascii="Arial" w:hAnsi="Arial" w:cs="Arial"/>
                <w:sz w:val="20"/>
              </w:rPr>
            </w:pPr>
            <w:r w:rsidRPr="005D6BC6">
              <w:rPr>
                <w:rFonts w:ascii="Arial" w:hAnsi="Arial" w:cs="Arial"/>
                <w:sz w:val="20"/>
              </w:rPr>
              <w:t xml:space="preserve">They </w:t>
            </w:r>
            <w:r>
              <w:rPr>
                <w:rFonts w:ascii="Arial" w:hAnsi="Arial" w:cs="Arial"/>
                <w:sz w:val="20"/>
              </w:rPr>
              <w:t>must be committed to equal opportunities and must not discriminate in performance of the service towards service users of members of staff in any way;</w:t>
            </w:r>
          </w:p>
          <w:p w:rsidR="007467D5" w:rsidRDefault="007467D5" w:rsidP="007467D5">
            <w:pPr>
              <w:pStyle w:val="ListParagraph"/>
              <w:numPr>
                <w:ilvl w:val="0"/>
                <w:numId w:val="19"/>
              </w:numPr>
              <w:rPr>
                <w:rFonts w:ascii="Arial" w:hAnsi="Arial" w:cs="Arial"/>
                <w:sz w:val="20"/>
              </w:rPr>
            </w:pPr>
            <w:r>
              <w:rPr>
                <w:rFonts w:ascii="Arial" w:hAnsi="Arial" w:cs="Arial"/>
                <w:sz w:val="20"/>
              </w:rPr>
              <w:t>The service provider must be able to provide chaperones at the patients request;</w:t>
            </w:r>
          </w:p>
          <w:p w:rsidR="007467D5" w:rsidRDefault="007467D5" w:rsidP="007467D5">
            <w:pPr>
              <w:pStyle w:val="ListParagraph"/>
              <w:numPr>
                <w:ilvl w:val="0"/>
                <w:numId w:val="19"/>
              </w:numPr>
              <w:rPr>
                <w:rFonts w:ascii="Arial" w:hAnsi="Arial" w:cs="Arial"/>
                <w:sz w:val="20"/>
              </w:rPr>
            </w:pPr>
            <w:r>
              <w:rPr>
                <w:rFonts w:ascii="Arial" w:hAnsi="Arial" w:cs="Arial"/>
                <w:sz w:val="20"/>
              </w:rPr>
              <w:t>The service provider must also be able to provide premises, facilities and treatment rooms that are compliant with disability legislation;</w:t>
            </w:r>
          </w:p>
          <w:p w:rsidR="007467D5" w:rsidRDefault="007467D5" w:rsidP="007467D5">
            <w:pPr>
              <w:pStyle w:val="ListParagraph"/>
              <w:numPr>
                <w:ilvl w:val="0"/>
                <w:numId w:val="19"/>
              </w:numPr>
              <w:rPr>
                <w:rFonts w:ascii="Arial" w:hAnsi="Arial" w:cs="Arial"/>
                <w:sz w:val="20"/>
              </w:rPr>
            </w:pPr>
            <w:r>
              <w:rPr>
                <w:rFonts w:ascii="Arial" w:hAnsi="Arial" w:cs="Arial"/>
                <w:sz w:val="20"/>
              </w:rPr>
              <w:t>The service provider must be able to provide access to foreign language interpreter if necessary.</w:t>
            </w:r>
          </w:p>
          <w:p w:rsidR="007467D5" w:rsidRDefault="007467D5" w:rsidP="007467D5">
            <w:pPr>
              <w:rPr>
                <w:rFonts w:ascii="Arial" w:hAnsi="Arial" w:cs="Arial"/>
                <w:sz w:val="20"/>
              </w:rPr>
            </w:pPr>
          </w:p>
          <w:p w:rsidR="007467D5" w:rsidRPr="005D6BC6" w:rsidRDefault="007467D5" w:rsidP="007467D5">
            <w:pPr>
              <w:rPr>
                <w:rFonts w:ascii="Arial" w:hAnsi="Arial" w:cs="Arial"/>
                <w:b/>
                <w:sz w:val="20"/>
              </w:rPr>
            </w:pPr>
            <w:r w:rsidRPr="005D6BC6">
              <w:rPr>
                <w:rFonts w:ascii="Arial" w:hAnsi="Arial" w:cs="Arial"/>
                <w:b/>
                <w:sz w:val="20"/>
              </w:rPr>
              <w:t>3.2.9 Clinical Governance</w:t>
            </w:r>
          </w:p>
          <w:p w:rsidR="007467D5" w:rsidRDefault="007467D5" w:rsidP="007467D5">
            <w:pPr>
              <w:rPr>
                <w:rFonts w:ascii="Arial" w:hAnsi="Arial" w:cs="Arial"/>
                <w:sz w:val="20"/>
              </w:rPr>
            </w:pPr>
            <w:r>
              <w:rPr>
                <w:rFonts w:ascii="Arial" w:hAnsi="Arial" w:cs="Arial"/>
                <w:sz w:val="20"/>
              </w:rPr>
              <w:t>The service provider will be responsible for their own system of clinical governance. This will include but not be limited to the following:</w:t>
            </w:r>
          </w:p>
          <w:p w:rsidR="007467D5" w:rsidRDefault="007467D5" w:rsidP="007467D5">
            <w:pPr>
              <w:pStyle w:val="ListParagraph"/>
              <w:numPr>
                <w:ilvl w:val="0"/>
                <w:numId w:val="20"/>
              </w:numPr>
              <w:rPr>
                <w:rFonts w:ascii="Arial" w:hAnsi="Arial" w:cs="Arial"/>
                <w:sz w:val="20"/>
              </w:rPr>
            </w:pPr>
            <w:r>
              <w:rPr>
                <w:rFonts w:ascii="Arial" w:hAnsi="Arial" w:cs="Arial"/>
                <w:sz w:val="20"/>
              </w:rPr>
              <w:t>An appointed Clinical Governance Lead</w:t>
            </w:r>
          </w:p>
          <w:p w:rsidR="007467D5" w:rsidRDefault="007467D5" w:rsidP="007467D5">
            <w:pPr>
              <w:pStyle w:val="ListParagraph"/>
              <w:numPr>
                <w:ilvl w:val="0"/>
                <w:numId w:val="20"/>
              </w:numPr>
              <w:rPr>
                <w:rFonts w:ascii="Arial" w:hAnsi="Arial" w:cs="Arial"/>
                <w:sz w:val="20"/>
              </w:rPr>
            </w:pPr>
            <w:r>
              <w:rPr>
                <w:rFonts w:ascii="Arial" w:hAnsi="Arial" w:cs="Arial"/>
                <w:sz w:val="20"/>
              </w:rPr>
              <w:t>Development and implementation of Clinical Governance policies;</w:t>
            </w:r>
          </w:p>
          <w:p w:rsidR="007467D5" w:rsidRDefault="007467D5" w:rsidP="007467D5">
            <w:pPr>
              <w:pStyle w:val="ListParagraph"/>
              <w:numPr>
                <w:ilvl w:val="0"/>
                <w:numId w:val="20"/>
              </w:numPr>
              <w:rPr>
                <w:rFonts w:ascii="Arial" w:hAnsi="Arial" w:cs="Arial"/>
                <w:sz w:val="20"/>
              </w:rPr>
            </w:pPr>
            <w:r>
              <w:rPr>
                <w:rFonts w:ascii="Arial" w:hAnsi="Arial" w:cs="Arial"/>
                <w:sz w:val="20"/>
              </w:rPr>
              <w:t>Adherence to the Serious Incident reporting and investigation process;</w:t>
            </w:r>
          </w:p>
          <w:p w:rsidR="007467D5" w:rsidRDefault="007467D5" w:rsidP="007467D5">
            <w:pPr>
              <w:pStyle w:val="ListParagraph"/>
              <w:numPr>
                <w:ilvl w:val="0"/>
                <w:numId w:val="20"/>
              </w:numPr>
              <w:rPr>
                <w:rFonts w:ascii="Arial" w:hAnsi="Arial" w:cs="Arial"/>
                <w:sz w:val="20"/>
              </w:rPr>
            </w:pPr>
            <w:r>
              <w:rPr>
                <w:rFonts w:ascii="Arial" w:hAnsi="Arial" w:cs="Arial"/>
                <w:sz w:val="20"/>
              </w:rPr>
              <w:t>Compliance with Infection Control policies;</w:t>
            </w:r>
          </w:p>
          <w:p w:rsidR="007467D5" w:rsidRDefault="007467D5" w:rsidP="007467D5">
            <w:pPr>
              <w:pStyle w:val="ListParagraph"/>
              <w:numPr>
                <w:ilvl w:val="0"/>
                <w:numId w:val="20"/>
              </w:numPr>
              <w:rPr>
                <w:rFonts w:ascii="Arial" w:hAnsi="Arial" w:cs="Arial"/>
                <w:sz w:val="20"/>
              </w:rPr>
            </w:pPr>
            <w:r>
              <w:rPr>
                <w:rFonts w:ascii="Arial" w:hAnsi="Arial" w:cs="Arial"/>
                <w:sz w:val="20"/>
              </w:rPr>
              <w:t>Compliance with NHS complaints procedure and processes.</w:t>
            </w:r>
          </w:p>
          <w:p w:rsidR="007467D5" w:rsidRDefault="007467D5" w:rsidP="007467D5">
            <w:pPr>
              <w:pStyle w:val="ListParagraph"/>
              <w:rPr>
                <w:rFonts w:ascii="Arial" w:hAnsi="Arial" w:cs="Arial"/>
                <w:sz w:val="20"/>
              </w:rPr>
            </w:pPr>
          </w:p>
          <w:p w:rsidR="007467D5" w:rsidRPr="005D6BC6" w:rsidRDefault="007467D5" w:rsidP="007467D5">
            <w:pPr>
              <w:rPr>
                <w:rFonts w:ascii="Arial" w:hAnsi="Arial" w:cs="Arial"/>
                <w:sz w:val="20"/>
              </w:rPr>
            </w:pPr>
            <w:r>
              <w:rPr>
                <w:rFonts w:ascii="Arial" w:hAnsi="Arial" w:cs="Arial"/>
                <w:sz w:val="20"/>
              </w:rPr>
              <w:t xml:space="preserve">The service provider will have secure IT systems in place which enable the capturing of patient information and activity reporting. They will ensure that all information relating to patients is safeguarded and complies with the General Data Protection Regulations (GDPR) (2018), the Access to Health Records Act (1990), the Freedom of Information Act (2000) and the </w:t>
            </w:r>
            <w:proofErr w:type="spellStart"/>
            <w:r>
              <w:rPr>
                <w:rFonts w:ascii="Arial" w:hAnsi="Arial" w:cs="Arial"/>
                <w:sz w:val="20"/>
              </w:rPr>
              <w:t>Caldicott</w:t>
            </w:r>
            <w:proofErr w:type="spellEnd"/>
            <w:r>
              <w:rPr>
                <w:rFonts w:ascii="Arial" w:hAnsi="Arial" w:cs="Arial"/>
                <w:sz w:val="20"/>
              </w:rPr>
              <w:t xml:space="preserve"> Principles.   </w:t>
            </w:r>
          </w:p>
          <w:p w:rsidR="00235D08" w:rsidRDefault="00235D08" w:rsidP="002937AD">
            <w:pPr>
              <w:spacing w:after="0"/>
              <w:rPr>
                <w:rFonts w:ascii="Arial" w:hAnsi="Arial" w:cs="Arial"/>
                <w:b/>
                <w:sz w:val="20"/>
              </w:rPr>
            </w:pPr>
            <w:r w:rsidRPr="002937AD">
              <w:rPr>
                <w:rFonts w:ascii="Arial" w:hAnsi="Arial" w:cs="Arial"/>
                <w:b/>
                <w:sz w:val="20"/>
              </w:rPr>
              <w:t>3.3</w:t>
            </w:r>
            <w:r w:rsidRPr="002937AD">
              <w:rPr>
                <w:rFonts w:ascii="Arial" w:hAnsi="Arial" w:cs="Arial"/>
                <w:b/>
                <w:sz w:val="20"/>
              </w:rPr>
              <w:tab/>
              <w:t>Population covered</w:t>
            </w:r>
          </w:p>
          <w:p w:rsidR="00A73954" w:rsidRDefault="00A73954" w:rsidP="002937AD">
            <w:pPr>
              <w:spacing w:after="0"/>
              <w:rPr>
                <w:rFonts w:ascii="Arial" w:hAnsi="Arial" w:cs="Arial"/>
                <w:b/>
                <w:sz w:val="20"/>
              </w:rPr>
            </w:pPr>
          </w:p>
          <w:p w:rsidR="00A73954" w:rsidRPr="00A73954" w:rsidRDefault="00A73954" w:rsidP="002937AD">
            <w:pPr>
              <w:spacing w:after="0"/>
              <w:rPr>
                <w:rFonts w:ascii="Arial" w:hAnsi="Arial" w:cs="Arial"/>
                <w:sz w:val="20"/>
              </w:rPr>
            </w:pPr>
            <w:r>
              <w:rPr>
                <w:rFonts w:ascii="Arial" w:hAnsi="Arial" w:cs="Arial"/>
                <w:sz w:val="20"/>
              </w:rPr>
              <w:t>Practice registered lists, temporary residents and the entrenched and transient homeless.</w:t>
            </w:r>
          </w:p>
          <w:p w:rsidR="00141F0D" w:rsidRPr="002937AD" w:rsidRDefault="00141F0D" w:rsidP="002937AD">
            <w:pPr>
              <w:spacing w:after="0"/>
              <w:rPr>
                <w:rFonts w:ascii="Arial" w:hAnsi="Arial" w:cs="Arial"/>
                <w:b/>
                <w:sz w:val="20"/>
              </w:rPr>
            </w:pPr>
          </w:p>
          <w:p w:rsidR="00235D08" w:rsidRPr="002937AD" w:rsidRDefault="00235D08" w:rsidP="002937AD">
            <w:pPr>
              <w:spacing w:after="0"/>
              <w:rPr>
                <w:rFonts w:ascii="Arial" w:hAnsi="Arial" w:cs="Arial"/>
                <w:b/>
                <w:sz w:val="20"/>
              </w:rPr>
            </w:pPr>
            <w:r w:rsidRPr="002937AD">
              <w:rPr>
                <w:rFonts w:ascii="Arial" w:hAnsi="Arial" w:cs="Arial"/>
                <w:b/>
                <w:sz w:val="20"/>
              </w:rPr>
              <w:lastRenderedPageBreak/>
              <w:t>3.4</w:t>
            </w:r>
            <w:r w:rsidRPr="002937AD">
              <w:rPr>
                <w:rFonts w:ascii="Arial" w:hAnsi="Arial" w:cs="Arial"/>
                <w:b/>
                <w:sz w:val="20"/>
              </w:rPr>
              <w:tab/>
              <w:t>Any acceptance and exclusion criteria and thresholds</w:t>
            </w:r>
          </w:p>
          <w:p w:rsidR="00703224" w:rsidRDefault="00703224" w:rsidP="00703224">
            <w:pPr>
              <w:spacing w:after="0"/>
              <w:rPr>
                <w:rFonts w:ascii="Arial" w:hAnsi="Arial" w:cs="Arial"/>
                <w:sz w:val="20"/>
              </w:rPr>
            </w:pPr>
          </w:p>
          <w:p w:rsidR="00703224" w:rsidRDefault="00703224" w:rsidP="00703224">
            <w:pPr>
              <w:rPr>
                <w:rFonts w:ascii="Arial" w:eastAsiaTheme="minorHAnsi" w:hAnsi="Arial" w:cs="Arial"/>
                <w:sz w:val="20"/>
                <w:lang w:val="en-GB" w:eastAsia="en-US"/>
              </w:rPr>
            </w:pPr>
            <w:r>
              <w:rPr>
                <w:rFonts w:ascii="Arial" w:hAnsi="Arial" w:cs="Arial"/>
                <w:b/>
                <w:sz w:val="20"/>
              </w:rPr>
              <w:t>3.4.1 Acceptance criteria</w:t>
            </w:r>
          </w:p>
          <w:p w:rsidR="00703224" w:rsidRDefault="00703224" w:rsidP="00703224">
            <w:pPr>
              <w:spacing w:after="0"/>
              <w:rPr>
                <w:rFonts w:ascii="Arial" w:eastAsiaTheme="minorHAnsi" w:hAnsi="Arial" w:cs="Arial"/>
                <w:sz w:val="20"/>
                <w:lang w:val="en-GB" w:eastAsia="en-US"/>
              </w:rPr>
            </w:pPr>
            <w:r>
              <w:rPr>
                <w:rFonts w:ascii="Arial" w:eastAsiaTheme="minorHAnsi" w:hAnsi="Arial" w:cs="Arial"/>
                <w:sz w:val="20"/>
                <w:lang w:val="en-GB" w:eastAsia="en-US"/>
              </w:rPr>
              <w:t>Payment is offered to practices for undertaking ear irrigation under the following criteria:</w:t>
            </w:r>
          </w:p>
          <w:p w:rsidR="00703224" w:rsidRDefault="00703224" w:rsidP="00703224">
            <w:pPr>
              <w:spacing w:after="0"/>
              <w:rPr>
                <w:rFonts w:ascii="Arial" w:eastAsiaTheme="minorHAnsi" w:hAnsi="Arial" w:cs="Arial"/>
                <w:sz w:val="20"/>
                <w:lang w:val="en-GB" w:eastAsia="en-US"/>
              </w:rPr>
            </w:pPr>
            <w:r>
              <w:rPr>
                <w:rFonts w:ascii="Arial" w:eastAsiaTheme="minorHAnsi" w:hAnsi="Arial" w:cs="Arial"/>
                <w:sz w:val="20"/>
                <w:lang w:val="en-GB" w:eastAsia="en-US"/>
              </w:rPr>
              <w:t>Where the patient:</w:t>
            </w:r>
          </w:p>
          <w:p w:rsidR="00703224" w:rsidRDefault="00703224" w:rsidP="00703224">
            <w:pPr>
              <w:spacing w:after="0"/>
              <w:rPr>
                <w:rFonts w:ascii="Arial" w:eastAsiaTheme="minorHAnsi" w:hAnsi="Arial" w:cs="Arial"/>
                <w:sz w:val="20"/>
                <w:lang w:val="en-GB" w:eastAsia="en-US"/>
              </w:rPr>
            </w:pPr>
          </w:p>
          <w:p w:rsidR="00703224" w:rsidRDefault="00703224" w:rsidP="00703224">
            <w:pPr>
              <w:pStyle w:val="ListParagraph"/>
              <w:numPr>
                <w:ilvl w:val="0"/>
                <w:numId w:val="10"/>
              </w:numPr>
              <w:ind w:hanging="686"/>
              <w:rPr>
                <w:rFonts w:ascii="Arial" w:eastAsiaTheme="minorHAnsi" w:hAnsi="Arial" w:cs="Arial"/>
                <w:sz w:val="20"/>
                <w:lang w:eastAsia="en-US"/>
              </w:rPr>
            </w:pPr>
            <w:r>
              <w:rPr>
                <w:rFonts w:ascii="Arial" w:eastAsiaTheme="minorHAnsi" w:hAnsi="Arial" w:cs="Arial"/>
                <w:sz w:val="20"/>
                <w:lang w:eastAsia="en-US"/>
              </w:rPr>
              <w:t>Has a previously diagnosed hearing impairment not solely caused by the presence of wax; and/or</w:t>
            </w:r>
          </w:p>
          <w:p w:rsidR="00703224" w:rsidRDefault="00703224" w:rsidP="00703224">
            <w:pPr>
              <w:numPr>
                <w:ilvl w:val="0"/>
                <w:numId w:val="10"/>
              </w:numPr>
              <w:spacing w:after="0"/>
              <w:ind w:hanging="686"/>
              <w:rPr>
                <w:rFonts w:ascii="Arial" w:eastAsiaTheme="minorHAnsi" w:hAnsi="Arial" w:cs="Arial"/>
                <w:sz w:val="20"/>
                <w:lang w:val="en-GB" w:eastAsia="en-US"/>
              </w:rPr>
            </w:pPr>
            <w:r>
              <w:rPr>
                <w:rFonts w:ascii="Arial" w:eastAsiaTheme="minorHAnsi" w:hAnsi="Arial" w:cs="Arial"/>
                <w:sz w:val="20"/>
                <w:lang w:val="en-GB" w:eastAsia="en-US"/>
              </w:rPr>
              <w:t>Wears a hearing aid; and/or</w:t>
            </w:r>
          </w:p>
          <w:p w:rsidR="00703224" w:rsidRDefault="00703224" w:rsidP="00703224">
            <w:pPr>
              <w:numPr>
                <w:ilvl w:val="0"/>
                <w:numId w:val="10"/>
              </w:numPr>
              <w:spacing w:after="0"/>
              <w:ind w:hanging="686"/>
              <w:rPr>
                <w:rFonts w:ascii="Arial" w:eastAsiaTheme="minorHAnsi" w:hAnsi="Arial" w:cs="Arial"/>
                <w:sz w:val="20"/>
                <w:lang w:val="en-GB" w:eastAsia="en-US"/>
              </w:rPr>
            </w:pPr>
            <w:r>
              <w:rPr>
                <w:rFonts w:ascii="Arial" w:eastAsiaTheme="minorHAnsi" w:hAnsi="Arial" w:cs="Arial"/>
                <w:sz w:val="20"/>
                <w:lang w:val="en-GB" w:eastAsia="en-US"/>
              </w:rPr>
              <w:t>Has been referred to the practice by audiology</w:t>
            </w:r>
          </w:p>
          <w:p w:rsidR="00703224" w:rsidRDefault="00703224" w:rsidP="00703224">
            <w:pPr>
              <w:spacing w:after="0"/>
              <w:rPr>
                <w:rFonts w:ascii="Arial" w:eastAsiaTheme="minorHAnsi" w:hAnsi="Arial" w:cs="Arial"/>
                <w:sz w:val="20"/>
                <w:lang w:val="en-GB" w:eastAsia="en-US"/>
              </w:rPr>
            </w:pPr>
          </w:p>
          <w:p w:rsidR="00703224" w:rsidRDefault="00703224" w:rsidP="00703224">
            <w:pPr>
              <w:spacing w:after="0"/>
              <w:rPr>
                <w:rFonts w:ascii="Arial" w:hAnsi="Arial" w:cs="Arial"/>
                <w:b/>
                <w:sz w:val="20"/>
              </w:rPr>
            </w:pPr>
          </w:p>
          <w:p w:rsidR="00703224" w:rsidRDefault="00703224" w:rsidP="00703224">
            <w:pPr>
              <w:spacing w:after="0"/>
              <w:rPr>
                <w:rFonts w:ascii="Arial" w:hAnsi="Arial" w:cs="Arial"/>
                <w:b/>
                <w:sz w:val="20"/>
              </w:rPr>
            </w:pPr>
            <w:r>
              <w:rPr>
                <w:rFonts w:ascii="Arial" w:hAnsi="Arial" w:cs="Arial"/>
                <w:b/>
                <w:sz w:val="20"/>
              </w:rPr>
              <w:t xml:space="preserve">3.4.2 Exclusion criteria </w:t>
            </w:r>
          </w:p>
          <w:p w:rsidR="00703224" w:rsidRDefault="00703224" w:rsidP="00703224">
            <w:pPr>
              <w:spacing w:after="0"/>
              <w:rPr>
                <w:rFonts w:ascii="Arial" w:hAnsi="Arial" w:cs="Arial"/>
                <w:b/>
                <w:sz w:val="20"/>
              </w:rPr>
            </w:pPr>
          </w:p>
          <w:p w:rsidR="00703224" w:rsidRDefault="00703224" w:rsidP="00703224">
            <w:pPr>
              <w:spacing w:after="0"/>
              <w:rPr>
                <w:rFonts w:ascii="Arial" w:hAnsi="Arial" w:cs="Arial"/>
                <w:sz w:val="20"/>
              </w:rPr>
            </w:pPr>
            <w:r>
              <w:rPr>
                <w:rFonts w:ascii="Arial" w:hAnsi="Arial" w:cs="Arial"/>
                <w:sz w:val="20"/>
              </w:rPr>
              <w:t xml:space="preserve">Irrigation should not be carried out when: </w:t>
            </w:r>
          </w:p>
          <w:p w:rsidR="00703224" w:rsidRDefault="00703224" w:rsidP="00703224">
            <w:pPr>
              <w:spacing w:after="0"/>
              <w:rPr>
                <w:rFonts w:ascii="Arial" w:hAnsi="Arial" w:cs="Arial"/>
                <w:sz w:val="20"/>
              </w:rPr>
            </w:pP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A history of any previous problem with irrigation (pain, perforation, severe vertigo).</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Current perforation of the tympanic membrane.</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A history of perforation of the tympanic membrane in the last 12 months. (Not all experts would agree with this — some would advise that any history of a perforation at any time, even one that has been surgically repaired, is a contraindication to irrigation because a healed perforation may have a thin area which would be more prone to re-perforation.)</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Grommets in place.</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A history of any ear surgery (except extruded grommets within the last 18 months, with subsequent discharge from an Ear Nose and Throat department).</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A mucus discharge from the ear (which may indicate an undiagnosed perforation) within the past 12 months.</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A history of a middle ear infection in the previous 6 weeks.</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Cleft palate, whether repaired or not.</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Acute otitis externa with an oedematous ear canal and painful pinna.</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 xml:space="preserve">Presence of a foreign body, including vegetable matter, in the ear. Hygroscopic matter, such as peas or lentils, will expand on contact with water making removal more difficult.  </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Hearing in only one ear if it is the ear to be treated, as there is a remote chance that irrigation could cause permanent deafness.</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Confusion or agitation, as they may be unable to sit still.</w:t>
            </w:r>
          </w:p>
          <w:p w:rsidR="00703224" w:rsidRPr="008E7292" w:rsidRDefault="00703224" w:rsidP="00703224">
            <w:pPr>
              <w:pStyle w:val="ListParagraph"/>
              <w:numPr>
                <w:ilvl w:val="0"/>
                <w:numId w:val="9"/>
              </w:numPr>
              <w:rPr>
                <w:rFonts w:ascii="Arial" w:hAnsi="Arial" w:cs="Arial"/>
                <w:sz w:val="20"/>
              </w:rPr>
            </w:pPr>
            <w:r w:rsidRPr="008E7292">
              <w:rPr>
                <w:rFonts w:ascii="Arial" w:hAnsi="Arial" w:cs="Arial"/>
                <w:sz w:val="20"/>
              </w:rPr>
              <w:t>Inability to cooperate, for example young children and some people with learning difficulties.</w:t>
            </w:r>
          </w:p>
          <w:p w:rsidR="00703224" w:rsidRPr="008E7292" w:rsidRDefault="00703224" w:rsidP="00703224">
            <w:pPr>
              <w:spacing w:after="0"/>
              <w:rPr>
                <w:rFonts w:ascii="Arial" w:hAnsi="Arial" w:cs="Arial"/>
                <w:sz w:val="20"/>
              </w:rPr>
            </w:pPr>
          </w:p>
          <w:p w:rsidR="00703224" w:rsidRPr="008E7292" w:rsidRDefault="00703224" w:rsidP="00703224">
            <w:pPr>
              <w:spacing w:after="0"/>
              <w:rPr>
                <w:rFonts w:ascii="Arial" w:hAnsi="Arial" w:cs="Arial"/>
                <w:sz w:val="20"/>
              </w:rPr>
            </w:pPr>
            <w:r w:rsidRPr="008E7292">
              <w:rPr>
                <w:rFonts w:ascii="Arial" w:hAnsi="Arial" w:cs="Arial"/>
                <w:sz w:val="20"/>
              </w:rPr>
              <w:t>Use ear irrigation with caution in people with:</w:t>
            </w:r>
          </w:p>
          <w:p w:rsidR="00703224" w:rsidRPr="008E7292" w:rsidRDefault="00703224" w:rsidP="00703224">
            <w:pPr>
              <w:spacing w:after="0"/>
              <w:rPr>
                <w:rFonts w:ascii="Arial" w:hAnsi="Arial" w:cs="Arial"/>
                <w:sz w:val="20"/>
              </w:rPr>
            </w:pPr>
          </w:p>
          <w:p w:rsidR="00703224" w:rsidRPr="008E7292" w:rsidRDefault="00703224" w:rsidP="00703224">
            <w:pPr>
              <w:pStyle w:val="ListParagraph"/>
              <w:numPr>
                <w:ilvl w:val="0"/>
                <w:numId w:val="7"/>
              </w:numPr>
              <w:rPr>
                <w:rFonts w:ascii="Arial" w:hAnsi="Arial" w:cs="Arial"/>
                <w:sz w:val="20"/>
              </w:rPr>
            </w:pPr>
            <w:r w:rsidRPr="008E7292">
              <w:rPr>
                <w:rFonts w:ascii="Arial" w:hAnsi="Arial" w:cs="Arial"/>
                <w:sz w:val="20"/>
              </w:rPr>
              <w:t>Vertigo, as this may indicate the presence of middle ear disease with perforation of the tympanic membrane.</w:t>
            </w:r>
          </w:p>
          <w:p w:rsidR="00703224" w:rsidRPr="008E7292" w:rsidRDefault="00703224" w:rsidP="00703224">
            <w:pPr>
              <w:pStyle w:val="ListParagraph"/>
              <w:numPr>
                <w:ilvl w:val="0"/>
                <w:numId w:val="7"/>
              </w:numPr>
              <w:rPr>
                <w:rFonts w:ascii="Arial" w:hAnsi="Arial" w:cs="Arial"/>
                <w:sz w:val="20"/>
              </w:rPr>
            </w:pPr>
            <w:r w:rsidRPr="008E7292">
              <w:rPr>
                <w:rFonts w:ascii="Arial" w:hAnsi="Arial" w:cs="Arial"/>
                <w:sz w:val="20"/>
              </w:rPr>
              <w:t>Recurrent otitis media with or without documented tympanic membrane perforation, as thin scars on the tympanic membrane can easily be perforated.</w:t>
            </w:r>
          </w:p>
          <w:p w:rsidR="00703224" w:rsidRPr="008E7292" w:rsidRDefault="00703224" w:rsidP="00703224">
            <w:pPr>
              <w:pStyle w:val="ListParagraph"/>
              <w:numPr>
                <w:ilvl w:val="0"/>
                <w:numId w:val="7"/>
              </w:numPr>
              <w:rPr>
                <w:rFonts w:ascii="Arial" w:hAnsi="Arial" w:cs="Arial"/>
                <w:sz w:val="20"/>
              </w:rPr>
            </w:pPr>
            <w:r w:rsidRPr="008E7292">
              <w:rPr>
                <w:rFonts w:ascii="Arial" w:hAnsi="Arial" w:cs="Arial"/>
                <w:sz w:val="20"/>
              </w:rPr>
              <w:t>An immunocompromised state, especially older people with diabetes, as there is an increased risk of infection from iatrogenic trauma to the external auditory canal in this group of people.</w:t>
            </w:r>
          </w:p>
          <w:p w:rsidR="00703224" w:rsidRPr="008E7292" w:rsidRDefault="00703224" w:rsidP="00703224">
            <w:pPr>
              <w:spacing w:after="0"/>
              <w:rPr>
                <w:rFonts w:ascii="Arial" w:hAnsi="Arial" w:cs="Arial"/>
                <w:sz w:val="20"/>
              </w:rPr>
            </w:pPr>
          </w:p>
          <w:p w:rsidR="00703224" w:rsidRPr="008E7292" w:rsidRDefault="00703224" w:rsidP="00703224">
            <w:pPr>
              <w:spacing w:after="0"/>
              <w:rPr>
                <w:rFonts w:ascii="Arial" w:hAnsi="Arial" w:cs="Arial"/>
                <w:sz w:val="20"/>
              </w:rPr>
            </w:pPr>
            <w:r w:rsidRPr="008E7292">
              <w:rPr>
                <w:rFonts w:ascii="Arial" w:hAnsi="Arial" w:cs="Arial"/>
                <w:sz w:val="20"/>
              </w:rPr>
              <w:t>Careful instrumentation should be employed in people who are taking anticoagulants due to increased bleeding risk.</w:t>
            </w:r>
          </w:p>
          <w:p w:rsidR="00703224" w:rsidRDefault="00703224" w:rsidP="00703224">
            <w:pPr>
              <w:spacing w:after="0"/>
              <w:rPr>
                <w:rFonts w:ascii="Arial" w:hAnsi="Arial" w:cs="Arial"/>
                <w:sz w:val="20"/>
              </w:rPr>
            </w:pPr>
          </w:p>
          <w:p w:rsidR="00703224" w:rsidRDefault="00703224" w:rsidP="00703224">
            <w:pPr>
              <w:spacing w:after="0"/>
              <w:rPr>
                <w:rFonts w:ascii="Arial" w:hAnsi="Arial" w:cs="Arial"/>
                <w:sz w:val="20"/>
              </w:rPr>
            </w:pPr>
            <w:r>
              <w:rPr>
                <w:rFonts w:ascii="Arial" w:hAnsi="Arial" w:cs="Arial"/>
                <w:sz w:val="20"/>
              </w:rPr>
              <w:t>Warn people with a history of recurrent otitis externa or tinnitus that ear irrigation may aggravate their symptoms.</w:t>
            </w:r>
          </w:p>
          <w:p w:rsidR="00703224" w:rsidRDefault="00703224" w:rsidP="00703224">
            <w:pPr>
              <w:spacing w:after="0"/>
              <w:rPr>
                <w:rFonts w:ascii="Arial" w:hAnsi="Arial" w:cs="Arial"/>
                <w:color w:val="009966"/>
                <w:sz w:val="20"/>
              </w:rPr>
            </w:pPr>
          </w:p>
          <w:p w:rsidR="00235D08" w:rsidRPr="002937AD" w:rsidRDefault="00235D08" w:rsidP="002937AD">
            <w:pPr>
              <w:spacing w:after="0"/>
              <w:rPr>
                <w:rFonts w:ascii="Arial" w:hAnsi="Arial" w:cs="Arial"/>
                <w:b/>
                <w:sz w:val="20"/>
              </w:rPr>
            </w:pPr>
            <w:r w:rsidRPr="002937AD">
              <w:rPr>
                <w:rFonts w:ascii="Arial" w:hAnsi="Arial" w:cs="Arial"/>
                <w:b/>
                <w:sz w:val="20"/>
              </w:rPr>
              <w:t>3.5</w:t>
            </w:r>
            <w:r w:rsidRPr="002937AD">
              <w:rPr>
                <w:rFonts w:ascii="Arial" w:hAnsi="Arial" w:cs="Arial"/>
                <w:b/>
                <w:sz w:val="20"/>
              </w:rPr>
              <w:tab/>
              <w:t>Interdependence with other services/providers</w:t>
            </w:r>
          </w:p>
          <w:p w:rsidR="00235D08" w:rsidRDefault="00235D08" w:rsidP="002937AD">
            <w:pPr>
              <w:spacing w:after="0"/>
              <w:rPr>
                <w:rFonts w:ascii="Arial" w:hAnsi="Arial" w:cs="Arial"/>
                <w:sz w:val="20"/>
              </w:rPr>
            </w:pPr>
          </w:p>
          <w:p w:rsidR="00703224" w:rsidRDefault="00703224" w:rsidP="00703224">
            <w:pPr>
              <w:pStyle w:val="ListParagraph"/>
              <w:numPr>
                <w:ilvl w:val="0"/>
                <w:numId w:val="8"/>
              </w:numPr>
              <w:rPr>
                <w:rFonts w:ascii="Arial" w:hAnsi="Arial" w:cs="Arial"/>
                <w:sz w:val="20"/>
              </w:rPr>
            </w:pPr>
            <w:r>
              <w:rPr>
                <w:rFonts w:ascii="Arial" w:hAnsi="Arial" w:cs="Arial"/>
                <w:sz w:val="20"/>
              </w:rPr>
              <w:t>Secondary Care Services</w:t>
            </w:r>
          </w:p>
          <w:p w:rsidR="00703224" w:rsidRDefault="00703224" w:rsidP="00703224">
            <w:pPr>
              <w:pStyle w:val="ListParagraph"/>
              <w:numPr>
                <w:ilvl w:val="0"/>
                <w:numId w:val="8"/>
              </w:numPr>
              <w:rPr>
                <w:rFonts w:ascii="Arial" w:hAnsi="Arial" w:cs="Arial"/>
                <w:sz w:val="20"/>
              </w:rPr>
            </w:pPr>
            <w:r>
              <w:rPr>
                <w:rFonts w:ascii="Arial" w:hAnsi="Arial" w:cs="Arial"/>
                <w:sz w:val="20"/>
              </w:rPr>
              <w:t xml:space="preserve">Community Services </w:t>
            </w:r>
          </w:p>
          <w:p w:rsidR="00141F0D" w:rsidRPr="00A810D5" w:rsidRDefault="00141F0D" w:rsidP="00C82780">
            <w:pPr>
              <w:spacing w:after="0"/>
              <w:jc w:val="both"/>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lastRenderedPageBreak/>
              <w:t>4.</w:t>
            </w:r>
            <w:r w:rsidRPr="00E24B8C">
              <w:rPr>
                <w:rFonts w:ascii="Arial" w:eastAsia="Arial" w:hAnsi="Arial" w:cs="Arial"/>
                <w:b/>
                <w:color w:val="F79546"/>
                <w:position w:val="-1"/>
                <w:szCs w:val="24"/>
                <w:lang w:val="en-GB" w:eastAsia="en-US"/>
              </w:rPr>
              <w:tab/>
              <w:t>Applicable Service Standards</w:t>
            </w:r>
          </w:p>
        </w:tc>
      </w:tr>
      <w:tr w:rsidR="00235D08" w:rsidRPr="00512021" w:rsidTr="009D096C">
        <w:tc>
          <w:tcPr>
            <w:tcW w:w="8414" w:type="dxa"/>
            <w:shd w:val="clear" w:color="auto" w:fill="auto"/>
          </w:tcPr>
          <w:p w:rsidR="00235D08" w:rsidRPr="002937AD" w:rsidRDefault="00235D08" w:rsidP="002937AD">
            <w:pPr>
              <w:spacing w:after="0"/>
              <w:rPr>
                <w:rFonts w:ascii="Arial" w:hAnsi="Arial" w:cs="Arial"/>
                <w:sz w:val="20"/>
              </w:rPr>
            </w:pPr>
          </w:p>
          <w:p w:rsidR="00235D08" w:rsidRDefault="00235D08" w:rsidP="002937AD">
            <w:pPr>
              <w:spacing w:after="0"/>
              <w:rPr>
                <w:rFonts w:ascii="Arial" w:hAnsi="Arial" w:cs="Arial"/>
                <w:b/>
                <w:sz w:val="20"/>
              </w:rPr>
            </w:pPr>
            <w:r w:rsidRPr="00A810D5">
              <w:rPr>
                <w:rFonts w:ascii="Arial" w:hAnsi="Arial" w:cs="Arial"/>
                <w:b/>
                <w:sz w:val="20"/>
              </w:rPr>
              <w:t>4.1</w:t>
            </w:r>
            <w:r w:rsidRPr="00A810D5">
              <w:rPr>
                <w:rFonts w:ascii="Arial" w:hAnsi="Arial" w:cs="Arial"/>
                <w:b/>
                <w:sz w:val="20"/>
              </w:rPr>
              <w:tab/>
              <w:t>Applicable national standards (eg NICE)</w:t>
            </w:r>
          </w:p>
          <w:p w:rsidR="007113D8" w:rsidRPr="00A810D5" w:rsidRDefault="007113D8" w:rsidP="002937AD">
            <w:pPr>
              <w:spacing w:after="0"/>
              <w:rPr>
                <w:rFonts w:ascii="Arial" w:hAnsi="Arial" w:cs="Arial"/>
                <w:b/>
                <w:sz w:val="20"/>
              </w:rPr>
            </w:pPr>
          </w:p>
          <w:p w:rsidR="00235D08" w:rsidRDefault="005C6CB5" w:rsidP="009D096C">
            <w:pPr>
              <w:spacing w:after="0"/>
              <w:rPr>
                <w:rFonts w:ascii="Arial" w:hAnsi="Arial" w:cs="Arial"/>
                <w:sz w:val="20"/>
              </w:rPr>
            </w:pPr>
            <w:hyperlink r:id="rId9" w:history="1">
              <w:r w:rsidR="007113D8" w:rsidRPr="007113D8">
                <w:rPr>
                  <w:rStyle w:val="Hyperlink"/>
                  <w:rFonts w:ascii="Arial" w:hAnsi="Arial" w:cs="Arial"/>
                  <w:sz w:val="20"/>
                </w:rPr>
                <w:t>https://www.nice.org.uk/guidance/NG98</w:t>
              </w:r>
            </w:hyperlink>
          </w:p>
          <w:p w:rsidR="00703224" w:rsidRPr="00A810D5" w:rsidRDefault="00703224" w:rsidP="009D096C">
            <w:pPr>
              <w:spacing w:after="0"/>
              <w:rPr>
                <w:rFonts w:ascii="Arial" w:hAnsi="Arial" w:cs="Arial"/>
                <w:sz w:val="20"/>
              </w:rPr>
            </w:pPr>
          </w:p>
          <w:p w:rsidR="00235D08" w:rsidRPr="00A810D5" w:rsidRDefault="00235D08" w:rsidP="009D096C">
            <w:pPr>
              <w:spacing w:after="0"/>
              <w:ind w:left="743" w:hanging="743"/>
              <w:rPr>
                <w:rFonts w:ascii="Arial" w:hAnsi="Arial" w:cs="Arial"/>
                <w:b/>
                <w:sz w:val="20"/>
              </w:rPr>
            </w:pPr>
            <w:r w:rsidRPr="00A810D5">
              <w:rPr>
                <w:rFonts w:ascii="Arial" w:hAnsi="Arial" w:cs="Arial"/>
                <w:b/>
                <w:sz w:val="20"/>
              </w:rPr>
              <w:t>4.2</w:t>
            </w:r>
            <w:r w:rsidRPr="00A810D5">
              <w:rPr>
                <w:rFonts w:ascii="Arial" w:hAnsi="Arial" w:cs="Arial"/>
                <w:b/>
                <w:sz w:val="20"/>
              </w:rPr>
              <w:tab/>
              <w:t>Applicable standards set out in Guidance and/or issued by a competent body (eg Royal Colleges)</w:t>
            </w:r>
          </w:p>
          <w:p w:rsidR="00235D08" w:rsidRDefault="00235D08" w:rsidP="009D096C">
            <w:pPr>
              <w:spacing w:after="0"/>
              <w:ind w:left="743" w:hanging="743"/>
              <w:rPr>
                <w:rFonts w:ascii="Arial" w:hAnsi="Arial" w:cs="Arial"/>
                <w:sz w:val="20"/>
              </w:rPr>
            </w:pPr>
          </w:p>
          <w:p w:rsidR="0030021D" w:rsidRDefault="0030021D" w:rsidP="009D096C">
            <w:pPr>
              <w:spacing w:after="0"/>
              <w:ind w:left="743" w:hanging="743"/>
              <w:rPr>
                <w:rFonts w:ascii="Arial" w:hAnsi="Arial" w:cs="Arial"/>
                <w:sz w:val="20"/>
              </w:rPr>
            </w:pPr>
            <w:r>
              <w:rPr>
                <w:rFonts w:ascii="Arial" w:hAnsi="Arial" w:cs="Arial"/>
                <w:sz w:val="20"/>
              </w:rPr>
              <w:t>None identified.</w:t>
            </w:r>
          </w:p>
          <w:p w:rsidR="0030021D" w:rsidRDefault="0030021D" w:rsidP="009D096C">
            <w:pPr>
              <w:spacing w:after="0"/>
              <w:ind w:left="743" w:hanging="743"/>
              <w:rPr>
                <w:rFonts w:ascii="Arial" w:hAnsi="Arial" w:cs="Arial"/>
                <w:sz w:val="20"/>
              </w:rPr>
            </w:pPr>
          </w:p>
          <w:p w:rsidR="00235D08" w:rsidRDefault="00235D08" w:rsidP="009D096C">
            <w:pPr>
              <w:spacing w:after="0"/>
              <w:rPr>
                <w:rFonts w:ascii="Arial" w:hAnsi="Arial" w:cs="Arial"/>
                <w:b/>
                <w:sz w:val="20"/>
              </w:rPr>
            </w:pPr>
            <w:r w:rsidRPr="00A810D5">
              <w:rPr>
                <w:rFonts w:ascii="Arial" w:hAnsi="Arial" w:cs="Arial"/>
                <w:b/>
                <w:sz w:val="20"/>
              </w:rPr>
              <w:t>4.3</w:t>
            </w:r>
            <w:r w:rsidRPr="00A810D5">
              <w:rPr>
                <w:rFonts w:ascii="Arial" w:hAnsi="Arial" w:cs="Arial"/>
                <w:b/>
                <w:sz w:val="20"/>
              </w:rPr>
              <w:tab/>
              <w:t>Applicable local standards</w:t>
            </w:r>
          </w:p>
          <w:p w:rsidR="00E24B8C" w:rsidRDefault="00E24B8C" w:rsidP="002937AD">
            <w:pPr>
              <w:spacing w:after="0"/>
              <w:rPr>
                <w:rFonts w:ascii="Arial" w:hAnsi="Arial" w:cs="Arial"/>
                <w:b/>
                <w:sz w:val="20"/>
              </w:rPr>
            </w:pPr>
          </w:p>
          <w:p w:rsidR="0030021D" w:rsidRPr="0030021D" w:rsidRDefault="0030021D" w:rsidP="002937AD">
            <w:pPr>
              <w:spacing w:after="0"/>
              <w:rPr>
                <w:rFonts w:ascii="Arial" w:hAnsi="Arial" w:cs="Arial"/>
                <w:sz w:val="20"/>
              </w:rPr>
            </w:pPr>
            <w:r w:rsidRPr="0030021D">
              <w:rPr>
                <w:rFonts w:ascii="Arial" w:hAnsi="Arial" w:cs="Arial"/>
                <w:sz w:val="20"/>
              </w:rPr>
              <w:t>None identified</w:t>
            </w:r>
            <w:r>
              <w:rPr>
                <w:rFonts w:ascii="Arial" w:hAnsi="Arial" w:cs="Arial"/>
                <w:sz w:val="20"/>
              </w:rPr>
              <w:t>.</w:t>
            </w:r>
            <w:r w:rsidR="00861A37">
              <w:rPr>
                <w:rFonts w:ascii="Arial" w:hAnsi="Arial" w:cs="Arial"/>
                <w:sz w:val="20"/>
              </w:rPr>
              <w:t xml:space="preserve"> </w:t>
            </w:r>
          </w:p>
          <w:p w:rsidR="00235D08" w:rsidRPr="00A810D5" w:rsidRDefault="00235D08" w:rsidP="00C82780">
            <w:pPr>
              <w:spacing w:after="0"/>
              <w:ind w:right="81"/>
              <w:jc w:val="both"/>
              <w:rPr>
                <w:rFonts w:ascii="Arial" w:hAnsi="Arial" w:cs="Arial"/>
                <w:sz w:val="20"/>
              </w:rPr>
            </w:pPr>
          </w:p>
        </w:tc>
      </w:tr>
      <w:tr w:rsidR="00235D08" w:rsidRPr="00B5552C" w:rsidTr="00E24B8C">
        <w:tc>
          <w:tcPr>
            <w:tcW w:w="8414" w:type="dxa"/>
            <w:shd w:val="clear" w:color="auto" w:fill="4A442A" w:themeFill="background2" w:themeFillShade="40"/>
          </w:tcPr>
          <w:p w:rsidR="00235D08" w:rsidRPr="00E24B8C" w:rsidRDefault="00235D08" w:rsidP="009D096C">
            <w:pPr>
              <w:spacing w:after="0" w:line="276" w:lineRule="auto"/>
              <w:rPr>
                <w:rFonts w:ascii="Arial" w:eastAsia="Arial" w:hAnsi="Arial" w:cs="Arial"/>
                <w:b/>
                <w:color w:val="F79546"/>
                <w:position w:val="-1"/>
                <w:szCs w:val="24"/>
                <w:lang w:val="en-GB" w:eastAsia="en-US"/>
              </w:rPr>
            </w:pPr>
            <w:r w:rsidRPr="00E24B8C">
              <w:rPr>
                <w:rFonts w:ascii="Arial" w:eastAsia="Arial" w:hAnsi="Arial" w:cs="Arial"/>
                <w:b/>
                <w:color w:val="F79546"/>
                <w:position w:val="-1"/>
                <w:szCs w:val="24"/>
                <w:lang w:val="en-GB" w:eastAsia="en-US"/>
              </w:rPr>
              <w:t>5.</w:t>
            </w:r>
            <w:r w:rsidRPr="00E24B8C">
              <w:rPr>
                <w:rFonts w:ascii="Arial" w:eastAsia="Arial" w:hAnsi="Arial" w:cs="Arial"/>
                <w:b/>
                <w:color w:val="F79546"/>
                <w:position w:val="-1"/>
                <w:szCs w:val="24"/>
                <w:lang w:val="en-GB" w:eastAsia="en-US"/>
              </w:rPr>
              <w:tab/>
              <w:t>Applicable quality requirements and CQUIN goals</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810D5" w:rsidRDefault="00235D08" w:rsidP="00235D08">
            <w:pPr>
              <w:pStyle w:val="ListParagraph"/>
              <w:numPr>
                <w:ilvl w:val="1"/>
                <w:numId w:val="3"/>
              </w:numPr>
              <w:ind w:left="743" w:hanging="743"/>
              <w:rPr>
                <w:rFonts w:ascii="Arial" w:hAnsi="Arial" w:cs="Arial"/>
                <w:b/>
                <w:sz w:val="20"/>
                <w:szCs w:val="20"/>
              </w:rPr>
            </w:pPr>
            <w:r w:rsidRPr="00A810D5">
              <w:rPr>
                <w:rFonts w:ascii="Arial" w:hAnsi="Arial" w:cs="Arial"/>
                <w:b/>
                <w:sz w:val="20"/>
                <w:szCs w:val="20"/>
              </w:rPr>
              <w:t>Applicable Quality Requirements (See Schedule 4A-C)</w:t>
            </w:r>
          </w:p>
          <w:p w:rsidR="00235D08" w:rsidRPr="00A810D5" w:rsidRDefault="00235D08" w:rsidP="009D096C">
            <w:pPr>
              <w:pStyle w:val="ListParagraph"/>
              <w:ind w:left="743"/>
              <w:rPr>
                <w:rFonts w:ascii="Arial" w:hAnsi="Arial" w:cs="Arial"/>
                <w:b/>
                <w:sz w:val="20"/>
                <w:szCs w:val="20"/>
              </w:rPr>
            </w:pPr>
          </w:p>
          <w:p w:rsidR="00235D08" w:rsidRPr="00A810D5" w:rsidRDefault="00235D08" w:rsidP="00235D08">
            <w:pPr>
              <w:pStyle w:val="ListParagraph"/>
              <w:numPr>
                <w:ilvl w:val="1"/>
                <w:numId w:val="3"/>
              </w:numPr>
              <w:ind w:left="743" w:hanging="743"/>
              <w:rPr>
                <w:rFonts w:ascii="Arial" w:hAnsi="Arial" w:cs="Arial"/>
                <w:b/>
                <w:sz w:val="20"/>
                <w:szCs w:val="20"/>
              </w:rPr>
            </w:pPr>
            <w:r w:rsidRPr="00A810D5">
              <w:rPr>
                <w:rFonts w:ascii="Arial" w:hAnsi="Arial" w:cs="Arial"/>
                <w:b/>
                <w:sz w:val="20"/>
                <w:szCs w:val="20"/>
              </w:rPr>
              <w:t>Applicable CQUIN goals (See Schedule 4D)</w:t>
            </w:r>
          </w:p>
          <w:p w:rsidR="00235D08" w:rsidRDefault="00235D08" w:rsidP="009D096C">
            <w:pPr>
              <w:spacing w:after="0"/>
              <w:rPr>
                <w:rFonts w:ascii="Arial" w:hAnsi="Arial" w:cs="Arial"/>
                <w:sz w:val="20"/>
              </w:rPr>
            </w:pPr>
          </w:p>
          <w:p w:rsidR="005457D4" w:rsidRDefault="005457D4" w:rsidP="009D096C">
            <w:pPr>
              <w:spacing w:after="0"/>
              <w:rPr>
                <w:rFonts w:ascii="Arial" w:hAnsi="Arial" w:cs="Arial"/>
                <w:sz w:val="20"/>
              </w:rPr>
            </w:pPr>
            <w:r>
              <w:rPr>
                <w:rFonts w:ascii="Arial" w:hAnsi="Arial" w:cs="Arial"/>
                <w:sz w:val="20"/>
              </w:rPr>
              <w:t>Not Applicable.</w:t>
            </w:r>
          </w:p>
          <w:p w:rsidR="005457D4" w:rsidRPr="00A810D5" w:rsidRDefault="005457D4" w:rsidP="009D096C">
            <w:pPr>
              <w:spacing w:after="0"/>
              <w:rPr>
                <w:rFonts w:ascii="Arial" w:hAnsi="Arial" w:cs="Arial"/>
                <w:sz w:val="20"/>
              </w:rPr>
            </w:pPr>
          </w:p>
        </w:tc>
      </w:tr>
      <w:tr w:rsidR="00235D08" w:rsidRPr="00B5552C" w:rsidTr="00E24B8C">
        <w:tc>
          <w:tcPr>
            <w:tcW w:w="8414" w:type="dxa"/>
            <w:shd w:val="clear" w:color="auto" w:fill="4A442A" w:themeFill="background2" w:themeFillShade="40"/>
          </w:tcPr>
          <w:p w:rsidR="00235D08" w:rsidRPr="00A810D5" w:rsidRDefault="00235D08" w:rsidP="009D096C">
            <w:pPr>
              <w:spacing w:after="0" w:line="276" w:lineRule="auto"/>
              <w:rPr>
                <w:rFonts w:ascii="Arial" w:hAnsi="Arial" w:cs="Arial"/>
                <w:b/>
              </w:rPr>
            </w:pPr>
            <w:r w:rsidRPr="00E24B8C">
              <w:rPr>
                <w:rFonts w:ascii="Arial" w:eastAsia="Arial" w:hAnsi="Arial" w:cs="Arial"/>
                <w:b/>
                <w:color w:val="F79546"/>
                <w:position w:val="-1"/>
                <w:szCs w:val="24"/>
                <w:lang w:val="en-GB" w:eastAsia="en-US"/>
              </w:rPr>
              <w:t>6.</w:t>
            </w:r>
            <w:r w:rsidRPr="00E24B8C">
              <w:rPr>
                <w:rFonts w:ascii="Arial" w:eastAsia="Arial" w:hAnsi="Arial" w:cs="Arial"/>
                <w:b/>
                <w:color w:val="F79546"/>
                <w:position w:val="-1"/>
                <w:szCs w:val="24"/>
                <w:lang w:val="en-GB" w:eastAsia="en-US"/>
              </w:rPr>
              <w:tab/>
              <w:t>Location of Provider Premises</w:t>
            </w:r>
          </w:p>
        </w:tc>
      </w:tr>
      <w:tr w:rsidR="00235D08" w:rsidRPr="00512021" w:rsidTr="009D096C">
        <w:tc>
          <w:tcPr>
            <w:tcW w:w="8414" w:type="dxa"/>
            <w:shd w:val="clear" w:color="auto" w:fill="auto"/>
          </w:tcPr>
          <w:p w:rsidR="00235D08" w:rsidRPr="00A810D5" w:rsidRDefault="00235D08" w:rsidP="009D096C">
            <w:pPr>
              <w:spacing w:after="0"/>
              <w:rPr>
                <w:rFonts w:ascii="Arial" w:hAnsi="Arial" w:cs="Arial"/>
                <w:sz w:val="20"/>
              </w:rPr>
            </w:pPr>
          </w:p>
          <w:p w:rsidR="00235D08" w:rsidRPr="00AE6E56" w:rsidRDefault="00235D08" w:rsidP="009D096C">
            <w:pPr>
              <w:spacing w:after="0"/>
              <w:rPr>
                <w:rFonts w:ascii="Arial" w:hAnsi="Arial" w:cs="Arial"/>
                <w:b/>
                <w:i/>
                <w:sz w:val="20"/>
              </w:rPr>
            </w:pPr>
            <w:r w:rsidRPr="00A810D5">
              <w:rPr>
                <w:rFonts w:ascii="Arial" w:hAnsi="Arial" w:cs="Arial"/>
                <w:b/>
                <w:sz w:val="20"/>
              </w:rPr>
              <w:t>The Provider’s Premises are located at:</w:t>
            </w:r>
            <w:r w:rsidR="00AE6E56">
              <w:rPr>
                <w:rFonts w:ascii="Arial" w:hAnsi="Arial" w:cs="Arial"/>
                <w:b/>
                <w:sz w:val="20"/>
              </w:rPr>
              <w:t xml:space="preserve"> </w:t>
            </w:r>
            <w:r w:rsidR="00AE6E56">
              <w:rPr>
                <w:rFonts w:ascii="Arial" w:hAnsi="Arial" w:cs="Arial"/>
                <w:b/>
                <w:i/>
                <w:sz w:val="20"/>
              </w:rPr>
              <w:t>Telford and Wrekin CCG GP Practice (this will be personalised when added to the NHS Standard Contract</w:t>
            </w:r>
            <w:r w:rsidR="005C6CB5">
              <w:rPr>
                <w:rFonts w:ascii="Arial" w:hAnsi="Arial" w:cs="Arial"/>
                <w:b/>
                <w:i/>
                <w:sz w:val="20"/>
              </w:rPr>
              <w:t>)</w:t>
            </w:r>
            <w:r w:rsidR="00AE6E56">
              <w:rPr>
                <w:rFonts w:ascii="Arial" w:hAnsi="Arial" w:cs="Arial"/>
                <w:b/>
                <w:i/>
                <w:sz w:val="20"/>
              </w:rPr>
              <w:t>.</w:t>
            </w:r>
          </w:p>
          <w:p w:rsidR="00235D08" w:rsidRDefault="00235D08" w:rsidP="009D096C">
            <w:pPr>
              <w:spacing w:after="0"/>
              <w:rPr>
                <w:rFonts w:ascii="Arial" w:hAnsi="Arial" w:cs="Arial"/>
                <w:sz w:val="20"/>
              </w:rPr>
            </w:pPr>
          </w:p>
          <w:p w:rsidR="002937AD" w:rsidRPr="00A810D5" w:rsidRDefault="002937AD" w:rsidP="00C82780">
            <w:pPr>
              <w:spacing w:after="0"/>
              <w:rPr>
                <w:rFonts w:ascii="Arial" w:hAnsi="Arial" w:cs="Arial"/>
                <w:sz w:val="20"/>
              </w:rPr>
            </w:pPr>
          </w:p>
        </w:tc>
      </w:tr>
    </w:tbl>
    <w:p w:rsidR="00235D08" w:rsidRDefault="00235D08" w:rsidP="00235D08">
      <w:pPr>
        <w:rPr>
          <w:rFonts w:ascii="Arial" w:hAnsi="Arial" w:cs="Arial"/>
          <w:sz w:val="20"/>
        </w:rPr>
      </w:pPr>
      <w:bookmarkStart w:id="2" w:name="_GoBack"/>
      <w:bookmarkEnd w:id="2"/>
    </w:p>
    <w:sectPr w:rsidR="00235D08">
      <w:headerReference w:type="even" r:id="rId1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6790" w:rsidRDefault="00056790" w:rsidP="000B1121">
      <w:pPr>
        <w:spacing w:after="0"/>
      </w:pPr>
      <w:r>
        <w:separator/>
      </w:r>
    </w:p>
  </w:endnote>
  <w:endnote w:type="continuationSeparator" w:id="0">
    <w:p w:rsidR="00056790" w:rsidRDefault="00056790" w:rsidP="000B112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121" w:rsidRDefault="000B112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121" w:rsidRDefault="000B11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121" w:rsidRDefault="000B112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6790" w:rsidRDefault="00056790" w:rsidP="000B1121">
      <w:pPr>
        <w:spacing w:after="0"/>
      </w:pPr>
      <w:r>
        <w:separator/>
      </w:r>
    </w:p>
  </w:footnote>
  <w:footnote w:type="continuationSeparator" w:id="0">
    <w:p w:rsidR="00056790" w:rsidRDefault="00056790" w:rsidP="000B1121">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121" w:rsidRDefault="000B112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62889903"/>
      <w:docPartObj>
        <w:docPartGallery w:val="Watermarks"/>
        <w:docPartUnique/>
      </w:docPartObj>
    </w:sdtPr>
    <w:sdtEndPr/>
    <w:sdtContent>
      <w:p w:rsidR="000B1121" w:rsidRDefault="005C6CB5">
        <w:pPr>
          <w:pStyle w:val="Header"/>
        </w:pPr>
        <w:r>
          <w:rPr>
            <w:noProof/>
            <w:lang w:val="en-US" w:eastAsia="zh-TW"/>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1121" w:rsidRDefault="000B112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D63B00"/>
    <w:multiLevelType w:val="hybridMultilevel"/>
    <w:tmpl w:val="4490B45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nsid w:val="13404458"/>
    <w:multiLevelType w:val="hybridMultilevel"/>
    <w:tmpl w:val="DB025656"/>
    <w:lvl w:ilvl="0" w:tplc="3CDA0706">
      <w:start w:val="1"/>
      <w:numFmt w:val="upp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AFF66B6"/>
    <w:multiLevelType w:val="hybridMultilevel"/>
    <w:tmpl w:val="20B65D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1BC50276"/>
    <w:multiLevelType w:val="hybridMultilevel"/>
    <w:tmpl w:val="0A56F35A"/>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4">
    <w:nsid w:val="1E6000C8"/>
    <w:multiLevelType w:val="hybridMultilevel"/>
    <w:tmpl w:val="5B02F39E"/>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5">
    <w:nsid w:val="2C2000AD"/>
    <w:multiLevelType w:val="hybridMultilevel"/>
    <w:tmpl w:val="2D64B5DA"/>
    <w:lvl w:ilvl="0" w:tplc="5C327048">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6">
    <w:nsid w:val="2C8A69ED"/>
    <w:multiLevelType w:val="hybridMultilevel"/>
    <w:tmpl w:val="F322F52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7">
    <w:nsid w:val="2E5649CE"/>
    <w:multiLevelType w:val="hybridMultilevel"/>
    <w:tmpl w:val="2EA6EF78"/>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8">
    <w:nsid w:val="2E95597A"/>
    <w:multiLevelType w:val="multilevel"/>
    <w:tmpl w:val="E214AA8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FAB6E84"/>
    <w:multiLevelType w:val="hybridMultilevel"/>
    <w:tmpl w:val="C76E5CB2"/>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355257F3"/>
    <w:multiLevelType w:val="hybridMultilevel"/>
    <w:tmpl w:val="8AF2E8A0"/>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1">
    <w:nsid w:val="3C794113"/>
    <w:multiLevelType w:val="hybridMultilevel"/>
    <w:tmpl w:val="8F948B68"/>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3DA070E2"/>
    <w:multiLevelType w:val="hybridMultilevel"/>
    <w:tmpl w:val="AEAC9D32"/>
    <w:lvl w:ilvl="0" w:tplc="5C327048">
      <w:numFmt w:val="bullet"/>
      <w:lvlText w:val="•"/>
      <w:lvlJc w:val="left"/>
      <w:pPr>
        <w:ind w:left="360" w:hanging="360"/>
      </w:pPr>
      <w:rPr>
        <w:rFonts w:ascii="Arial" w:eastAsiaTheme="minorEastAsia" w:hAnsi="Arial" w:cs="Arial" w:hint="default"/>
      </w:rPr>
    </w:lvl>
    <w:lvl w:ilvl="1" w:tplc="08090003">
      <w:start w:val="1"/>
      <w:numFmt w:val="bullet"/>
      <w:lvlText w:val="o"/>
      <w:lvlJc w:val="left"/>
      <w:pPr>
        <w:ind w:left="1080" w:hanging="360"/>
      </w:pPr>
      <w:rPr>
        <w:rFonts w:ascii="Courier New" w:hAnsi="Courier New" w:cs="Courier New" w:hint="default"/>
      </w:rPr>
    </w:lvl>
    <w:lvl w:ilvl="2" w:tplc="08090005">
      <w:start w:val="1"/>
      <w:numFmt w:val="bullet"/>
      <w:lvlText w:val=""/>
      <w:lvlJc w:val="left"/>
      <w:pPr>
        <w:ind w:left="1800" w:hanging="360"/>
      </w:pPr>
      <w:rPr>
        <w:rFonts w:ascii="Wingdings" w:hAnsi="Wingdings" w:hint="default"/>
      </w:rPr>
    </w:lvl>
    <w:lvl w:ilvl="3" w:tplc="08090001">
      <w:start w:val="1"/>
      <w:numFmt w:val="bullet"/>
      <w:lvlText w:val=""/>
      <w:lvlJc w:val="left"/>
      <w:pPr>
        <w:ind w:left="2520" w:hanging="360"/>
      </w:pPr>
      <w:rPr>
        <w:rFonts w:ascii="Symbol" w:hAnsi="Symbol" w:hint="default"/>
      </w:rPr>
    </w:lvl>
    <w:lvl w:ilvl="4" w:tplc="08090003">
      <w:start w:val="1"/>
      <w:numFmt w:val="bullet"/>
      <w:lvlText w:val="o"/>
      <w:lvlJc w:val="left"/>
      <w:pPr>
        <w:ind w:left="3240" w:hanging="360"/>
      </w:pPr>
      <w:rPr>
        <w:rFonts w:ascii="Courier New" w:hAnsi="Courier New" w:cs="Courier New" w:hint="default"/>
      </w:rPr>
    </w:lvl>
    <w:lvl w:ilvl="5" w:tplc="08090005">
      <w:start w:val="1"/>
      <w:numFmt w:val="bullet"/>
      <w:lvlText w:val=""/>
      <w:lvlJc w:val="left"/>
      <w:pPr>
        <w:ind w:left="3960" w:hanging="360"/>
      </w:pPr>
      <w:rPr>
        <w:rFonts w:ascii="Wingdings" w:hAnsi="Wingdings" w:hint="default"/>
      </w:rPr>
    </w:lvl>
    <w:lvl w:ilvl="6" w:tplc="08090001">
      <w:start w:val="1"/>
      <w:numFmt w:val="bullet"/>
      <w:lvlText w:val=""/>
      <w:lvlJc w:val="left"/>
      <w:pPr>
        <w:ind w:left="4680" w:hanging="360"/>
      </w:pPr>
      <w:rPr>
        <w:rFonts w:ascii="Symbol" w:hAnsi="Symbol" w:hint="default"/>
      </w:rPr>
    </w:lvl>
    <w:lvl w:ilvl="7" w:tplc="08090003">
      <w:start w:val="1"/>
      <w:numFmt w:val="bullet"/>
      <w:lvlText w:val="o"/>
      <w:lvlJc w:val="left"/>
      <w:pPr>
        <w:ind w:left="5400" w:hanging="360"/>
      </w:pPr>
      <w:rPr>
        <w:rFonts w:ascii="Courier New" w:hAnsi="Courier New" w:cs="Courier New" w:hint="default"/>
      </w:rPr>
    </w:lvl>
    <w:lvl w:ilvl="8" w:tplc="08090005">
      <w:start w:val="1"/>
      <w:numFmt w:val="bullet"/>
      <w:lvlText w:val=""/>
      <w:lvlJc w:val="left"/>
      <w:pPr>
        <w:ind w:left="6120" w:hanging="360"/>
      </w:pPr>
      <w:rPr>
        <w:rFonts w:ascii="Wingdings" w:hAnsi="Wingdings" w:hint="default"/>
      </w:rPr>
    </w:lvl>
  </w:abstractNum>
  <w:abstractNum w:abstractNumId="13">
    <w:nsid w:val="40677F76"/>
    <w:multiLevelType w:val="hybridMultilevel"/>
    <w:tmpl w:val="2B8AA3A2"/>
    <w:lvl w:ilvl="0" w:tplc="5C327048">
      <w:numFmt w:val="bullet"/>
      <w:lvlText w:val="•"/>
      <w:lvlJc w:val="left"/>
      <w:pPr>
        <w:ind w:left="1440" w:hanging="720"/>
      </w:pPr>
      <w:rPr>
        <w:rFonts w:ascii="Arial" w:eastAsiaTheme="minorEastAsia"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nsid w:val="42364EF3"/>
    <w:multiLevelType w:val="hybridMultilevel"/>
    <w:tmpl w:val="285A68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nsid w:val="47147AF4"/>
    <w:multiLevelType w:val="hybridMultilevel"/>
    <w:tmpl w:val="56160F7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nsid w:val="62F64FF3"/>
    <w:multiLevelType w:val="hybridMultilevel"/>
    <w:tmpl w:val="C60C7202"/>
    <w:lvl w:ilvl="0" w:tplc="5C327048">
      <w:numFmt w:val="bullet"/>
      <w:lvlText w:val="•"/>
      <w:lvlJc w:val="left"/>
      <w:pPr>
        <w:ind w:left="1080" w:hanging="720"/>
      </w:pPr>
      <w:rPr>
        <w:rFonts w:ascii="Arial" w:eastAsiaTheme="minorEastAsia"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6D71591D"/>
    <w:multiLevelType w:val="hybridMultilevel"/>
    <w:tmpl w:val="0D3C1BB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75633431"/>
    <w:multiLevelType w:val="multilevel"/>
    <w:tmpl w:val="D5B86D2A"/>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763E0AE2"/>
    <w:multiLevelType w:val="hybridMultilevel"/>
    <w:tmpl w:val="7BE0CD12"/>
    <w:lvl w:ilvl="0" w:tplc="5C327048">
      <w:numFmt w:val="bullet"/>
      <w:lvlText w:val="•"/>
      <w:lvlJc w:val="left"/>
      <w:pPr>
        <w:ind w:left="720" w:hanging="360"/>
      </w:pPr>
      <w:rPr>
        <w:rFonts w:ascii="Arial" w:eastAsiaTheme="minorEastAsia" w:hAnsi="Arial" w:cs="Arial" w:hint="default"/>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num w:numId="1">
    <w:abstractNumId w:val="1"/>
  </w:num>
  <w:num w:numId="2">
    <w:abstractNumId w:val="8"/>
  </w:num>
  <w:num w:numId="3">
    <w:abstractNumId w:val="18"/>
  </w:num>
  <w:num w:numId="4">
    <w:abstractNumId w:val="6"/>
  </w:num>
  <w:num w:numId="5">
    <w:abstractNumId w:val="7"/>
  </w:num>
  <w:num w:numId="6">
    <w:abstractNumId w:val="16"/>
  </w:num>
  <w:num w:numId="7">
    <w:abstractNumId w:val="12"/>
  </w:num>
  <w:num w:numId="8">
    <w:abstractNumId w:val="19"/>
  </w:num>
  <w:num w:numId="9">
    <w:abstractNumId w:val="5"/>
  </w:num>
  <w:num w:numId="10">
    <w:abstractNumId w:val="15"/>
  </w:num>
  <w:num w:numId="11">
    <w:abstractNumId w:val="3"/>
  </w:num>
  <w:num w:numId="12">
    <w:abstractNumId w:val="0"/>
  </w:num>
  <w:num w:numId="13">
    <w:abstractNumId w:val="9"/>
  </w:num>
  <w:num w:numId="14">
    <w:abstractNumId w:val="10"/>
  </w:num>
  <w:num w:numId="15">
    <w:abstractNumId w:val="11"/>
  </w:num>
  <w:num w:numId="16">
    <w:abstractNumId w:val="13"/>
  </w:num>
  <w:num w:numId="17">
    <w:abstractNumId w:val="4"/>
  </w:num>
  <w:num w:numId="18">
    <w:abstractNumId w:val="2"/>
  </w:num>
  <w:num w:numId="19">
    <w:abstractNumId w:val="17"/>
  </w:num>
  <w:num w:numId="20">
    <w:abstractNumId w:val="1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D08"/>
    <w:rsid w:val="00052238"/>
    <w:rsid w:val="00056790"/>
    <w:rsid w:val="0007009C"/>
    <w:rsid w:val="000B1121"/>
    <w:rsid w:val="00141F0D"/>
    <w:rsid w:val="00153451"/>
    <w:rsid w:val="00212214"/>
    <w:rsid w:val="00235D08"/>
    <w:rsid w:val="002937AD"/>
    <w:rsid w:val="002D1352"/>
    <w:rsid w:val="0030021D"/>
    <w:rsid w:val="00366975"/>
    <w:rsid w:val="00396251"/>
    <w:rsid w:val="00414566"/>
    <w:rsid w:val="005457D4"/>
    <w:rsid w:val="005C6CB5"/>
    <w:rsid w:val="005F3157"/>
    <w:rsid w:val="00610889"/>
    <w:rsid w:val="006A437E"/>
    <w:rsid w:val="006D3F82"/>
    <w:rsid w:val="006E7B5E"/>
    <w:rsid w:val="00703224"/>
    <w:rsid w:val="007113D8"/>
    <w:rsid w:val="007467D5"/>
    <w:rsid w:val="007D73A2"/>
    <w:rsid w:val="00861A37"/>
    <w:rsid w:val="008E7292"/>
    <w:rsid w:val="009A75B6"/>
    <w:rsid w:val="009D096C"/>
    <w:rsid w:val="00A73954"/>
    <w:rsid w:val="00AC3329"/>
    <w:rsid w:val="00AD1A96"/>
    <w:rsid w:val="00AE5654"/>
    <w:rsid w:val="00AE6E56"/>
    <w:rsid w:val="00B37F9F"/>
    <w:rsid w:val="00B5588F"/>
    <w:rsid w:val="00B6232E"/>
    <w:rsid w:val="00BD4116"/>
    <w:rsid w:val="00C42E5B"/>
    <w:rsid w:val="00C82780"/>
    <w:rsid w:val="00D365B8"/>
    <w:rsid w:val="00DC0CED"/>
    <w:rsid w:val="00E24B8C"/>
    <w:rsid w:val="00E7181C"/>
    <w:rsid w:val="00F40DD7"/>
    <w:rsid w:val="00FC06D8"/>
    <w:rsid w:val="00FE13E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rsid w:val="002937A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rsid w:val="002937A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uiPriority w:val="99"/>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D08"/>
    <w:pPr>
      <w:spacing w:line="240" w:lineRule="auto"/>
    </w:pPr>
    <w:rPr>
      <w:rFonts w:eastAsiaTheme="minorEastAsia"/>
      <w:sz w:val="24"/>
      <w:szCs w:val="20"/>
      <w:lang w:val="en-US" w:eastAsia="ja-JP"/>
    </w:rPr>
  </w:style>
  <w:style w:type="paragraph" w:styleId="Heading1">
    <w:name w:val="heading 1"/>
    <w:basedOn w:val="Normal"/>
    <w:next w:val="Normal"/>
    <w:link w:val="Heading1Char"/>
    <w:uiPriority w:val="9"/>
    <w:qFormat/>
    <w:rsid w:val="00235D08"/>
    <w:pPr>
      <w:spacing w:after="0" w:line="660" w:lineRule="exact"/>
      <w:jc w:val="center"/>
      <w:outlineLvl w:val="0"/>
    </w:pPr>
    <w:rPr>
      <w:rFonts w:ascii="Arial" w:hAnsi="Arial" w:cs="Arial"/>
      <w:b/>
      <w:sz w:val="28"/>
      <w:szCs w:val="28"/>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5D08"/>
    <w:rPr>
      <w:rFonts w:ascii="Arial" w:eastAsiaTheme="minorEastAsia" w:hAnsi="Arial" w:cs="Arial"/>
      <w:b/>
      <w:sz w:val="28"/>
      <w:szCs w:val="28"/>
    </w:rPr>
  </w:style>
  <w:style w:type="table" w:styleId="TableGrid">
    <w:name w:val="Table Grid"/>
    <w:basedOn w:val="TableNormal"/>
    <w:uiPriority w:val="59"/>
    <w:rsid w:val="00235D08"/>
    <w:pPr>
      <w:spacing w:after="0" w:line="240" w:lineRule="auto"/>
    </w:pPr>
    <w:rPr>
      <w:rFonts w:ascii="Times New Roman" w:eastAsia="Times New Roman" w:hAnsi="Times New Roman" w:cs="Times New Roman"/>
      <w:sz w:val="20"/>
      <w:szCs w:val="20"/>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35D08"/>
    <w:pPr>
      <w:spacing w:after="0"/>
      <w:ind w:left="720"/>
    </w:pPr>
    <w:rPr>
      <w:rFonts w:ascii="Times New Roman" w:eastAsia="Times New Roman" w:hAnsi="Times New Roman" w:cs="Times New Roman"/>
      <w:szCs w:val="24"/>
      <w:lang w:val="en-GB" w:eastAsia="en-GB"/>
    </w:rPr>
  </w:style>
  <w:style w:type="character" w:styleId="Hyperlink">
    <w:name w:val="Hyperlink"/>
    <w:basedOn w:val="DefaultParagraphFont"/>
    <w:uiPriority w:val="99"/>
    <w:unhideWhenUsed/>
    <w:rsid w:val="00E24B8C"/>
    <w:rPr>
      <w:color w:val="0000FF" w:themeColor="hyperlink"/>
      <w:u w:val="single"/>
    </w:rPr>
  </w:style>
  <w:style w:type="character" w:styleId="CommentReference">
    <w:name w:val="annotation reference"/>
    <w:basedOn w:val="DefaultParagraphFont"/>
    <w:uiPriority w:val="99"/>
    <w:semiHidden/>
    <w:unhideWhenUsed/>
    <w:rsid w:val="00141F0D"/>
    <w:rPr>
      <w:sz w:val="16"/>
      <w:szCs w:val="16"/>
    </w:rPr>
  </w:style>
  <w:style w:type="paragraph" w:styleId="CommentText">
    <w:name w:val="annotation text"/>
    <w:basedOn w:val="Normal"/>
    <w:link w:val="CommentTextChar"/>
    <w:uiPriority w:val="99"/>
    <w:semiHidden/>
    <w:unhideWhenUsed/>
    <w:rsid w:val="00141F0D"/>
    <w:rPr>
      <w:sz w:val="20"/>
    </w:rPr>
  </w:style>
  <w:style w:type="character" w:customStyle="1" w:styleId="CommentTextChar">
    <w:name w:val="Comment Text Char"/>
    <w:basedOn w:val="DefaultParagraphFont"/>
    <w:link w:val="CommentText"/>
    <w:uiPriority w:val="99"/>
    <w:semiHidden/>
    <w:rsid w:val="00141F0D"/>
    <w:rPr>
      <w:rFonts w:eastAsiaTheme="minorEastAsia"/>
      <w:sz w:val="20"/>
      <w:szCs w:val="20"/>
      <w:lang w:val="en-US" w:eastAsia="ja-JP"/>
    </w:rPr>
  </w:style>
  <w:style w:type="paragraph" w:styleId="CommentSubject">
    <w:name w:val="annotation subject"/>
    <w:basedOn w:val="CommentText"/>
    <w:next w:val="CommentText"/>
    <w:link w:val="CommentSubjectChar"/>
    <w:uiPriority w:val="99"/>
    <w:semiHidden/>
    <w:unhideWhenUsed/>
    <w:rsid w:val="00141F0D"/>
    <w:rPr>
      <w:b/>
      <w:bCs/>
    </w:rPr>
  </w:style>
  <w:style w:type="character" w:customStyle="1" w:styleId="CommentSubjectChar">
    <w:name w:val="Comment Subject Char"/>
    <w:basedOn w:val="CommentTextChar"/>
    <w:link w:val="CommentSubject"/>
    <w:uiPriority w:val="99"/>
    <w:semiHidden/>
    <w:rsid w:val="00141F0D"/>
    <w:rPr>
      <w:rFonts w:eastAsiaTheme="minorEastAsia"/>
      <w:b/>
      <w:bCs/>
      <w:sz w:val="20"/>
      <w:szCs w:val="20"/>
      <w:lang w:val="en-US" w:eastAsia="ja-JP"/>
    </w:rPr>
  </w:style>
  <w:style w:type="paragraph" w:styleId="BalloonText">
    <w:name w:val="Balloon Text"/>
    <w:basedOn w:val="Normal"/>
    <w:link w:val="BalloonTextChar"/>
    <w:uiPriority w:val="99"/>
    <w:semiHidden/>
    <w:unhideWhenUsed/>
    <w:rsid w:val="00141F0D"/>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141F0D"/>
    <w:rPr>
      <w:rFonts w:ascii="Tahoma" w:eastAsiaTheme="minorEastAsia" w:hAnsi="Tahoma" w:cs="Tahoma"/>
      <w:sz w:val="16"/>
      <w:szCs w:val="16"/>
      <w:lang w:val="en-US" w:eastAsia="ja-JP"/>
    </w:rPr>
  </w:style>
  <w:style w:type="paragraph" w:styleId="Header">
    <w:name w:val="header"/>
    <w:basedOn w:val="Normal"/>
    <w:link w:val="Head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HeaderChar">
    <w:name w:val="Header Char"/>
    <w:basedOn w:val="DefaultParagraphFont"/>
    <w:link w:val="Header"/>
    <w:uiPriority w:val="99"/>
    <w:rsid w:val="002937AD"/>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2937AD"/>
    <w:pPr>
      <w:tabs>
        <w:tab w:val="center" w:pos="4513"/>
        <w:tab w:val="right" w:pos="9026"/>
      </w:tabs>
      <w:spacing w:after="0"/>
    </w:pPr>
    <w:rPr>
      <w:rFonts w:ascii="Times New Roman" w:eastAsia="Times New Roman" w:hAnsi="Times New Roman" w:cs="Times New Roman"/>
      <w:sz w:val="20"/>
      <w:lang w:val="en-GB" w:eastAsia="en-US"/>
    </w:rPr>
  </w:style>
  <w:style w:type="character" w:customStyle="1" w:styleId="FooterChar">
    <w:name w:val="Footer Char"/>
    <w:basedOn w:val="DefaultParagraphFont"/>
    <w:link w:val="Footer"/>
    <w:uiPriority w:val="99"/>
    <w:rsid w:val="002937AD"/>
    <w:rPr>
      <w:rFonts w:ascii="Times New Roman" w:eastAsia="Times New Roman" w:hAnsi="Times New Roman" w:cs="Times New Roman"/>
      <w:sz w:val="20"/>
      <w:szCs w:val="20"/>
    </w:rPr>
  </w:style>
  <w:style w:type="paragraph" w:styleId="EndnoteText">
    <w:name w:val="endnote text"/>
    <w:basedOn w:val="Normal"/>
    <w:link w:val="EndnoteTextChar"/>
    <w:uiPriority w:val="99"/>
    <w:semiHidden/>
    <w:unhideWhenUsed/>
    <w:rsid w:val="002937AD"/>
    <w:pPr>
      <w:spacing w:after="0"/>
    </w:pPr>
    <w:rPr>
      <w:rFonts w:eastAsiaTheme="minorHAnsi"/>
      <w:sz w:val="20"/>
      <w:lang w:val="en-GB" w:eastAsia="en-US"/>
    </w:rPr>
  </w:style>
  <w:style w:type="character" w:customStyle="1" w:styleId="EndnoteTextChar">
    <w:name w:val="Endnote Text Char"/>
    <w:basedOn w:val="DefaultParagraphFont"/>
    <w:link w:val="EndnoteText"/>
    <w:uiPriority w:val="99"/>
    <w:semiHidden/>
    <w:rsid w:val="002937AD"/>
    <w:rPr>
      <w:sz w:val="20"/>
      <w:szCs w:val="20"/>
    </w:rPr>
  </w:style>
  <w:style w:type="paragraph" w:styleId="NoSpacing">
    <w:name w:val="No Spacing"/>
    <w:uiPriority w:val="1"/>
    <w:qFormat/>
    <w:rsid w:val="002937AD"/>
    <w:pPr>
      <w:spacing w:after="0" w:line="240" w:lineRule="auto"/>
    </w:pPr>
    <w:rPr>
      <w:rFonts w:ascii="Times New Roman" w:eastAsia="Times New Roman" w:hAnsi="Times New Roman" w:cs="Times New Roman"/>
      <w:sz w:val="20"/>
      <w:szCs w:val="20"/>
      <w:lang w:val="en-US"/>
    </w:rPr>
  </w:style>
  <w:style w:type="paragraph" w:customStyle="1" w:styleId="Default">
    <w:name w:val="Default"/>
    <w:rsid w:val="002937A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609330">
      <w:bodyDiv w:val="1"/>
      <w:marLeft w:val="0"/>
      <w:marRight w:val="0"/>
      <w:marTop w:val="0"/>
      <w:marBottom w:val="0"/>
      <w:divBdr>
        <w:top w:val="none" w:sz="0" w:space="0" w:color="auto"/>
        <w:left w:val="none" w:sz="0" w:space="0" w:color="auto"/>
        <w:bottom w:val="none" w:sz="0" w:space="0" w:color="auto"/>
        <w:right w:val="none" w:sz="0" w:space="0" w:color="auto"/>
      </w:divBdr>
    </w:div>
    <w:div w:id="143743816">
      <w:bodyDiv w:val="1"/>
      <w:marLeft w:val="0"/>
      <w:marRight w:val="0"/>
      <w:marTop w:val="0"/>
      <w:marBottom w:val="0"/>
      <w:divBdr>
        <w:top w:val="none" w:sz="0" w:space="0" w:color="auto"/>
        <w:left w:val="none" w:sz="0" w:space="0" w:color="auto"/>
        <w:bottom w:val="none" w:sz="0" w:space="0" w:color="auto"/>
        <w:right w:val="none" w:sz="0" w:space="0" w:color="auto"/>
      </w:divBdr>
    </w:div>
    <w:div w:id="508983277">
      <w:bodyDiv w:val="1"/>
      <w:marLeft w:val="0"/>
      <w:marRight w:val="0"/>
      <w:marTop w:val="0"/>
      <w:marBottom w:val="0"/>
      <w:divBdr>
        <w:top w:val="none" w:sz="0" w:space="0" w:color="auto"/>
        <w:left w:val="none" w:sz="0" w:space="0" w:color="auto"/>
        <w:bottom w:val="none" w:sz="0" w:space="0" w:color="auto"/>
        <w:right w:val="none" w:sz="0" w:space="0" w:color="auto"/>
      </w:divBdr>
    </w:div>
    <w:div w:id="521165812">
      <w:bodyDiv w:val="1"/>
      <w:marLeft w:val="0"/>
      <w:marRight w:val="0"/>
      <w:marTop w:val="0"/>
      <w:marBottom w:val="0"/>
      <w:divBdr>
        <w:top w:val="none" w:sz="0" w:space="0" w:color="auto"/>
        <w:left w:val="none" w:sz="0" w:space="0" w:color="auto"/>
        <w:bottom w:val="none" w:sz="0" w:space="0" w:color="auto"/>
        <w:right w:val="none" w:sz="0" w:space="0" w:color="auto"/>
      </w:divBdr>
    </w:div>
    <w:div w:id="671299953">
      <w:bodyDiv w:val="1"/>
      <w:marLeft w:val="0"/>
      <w:marRight w:val="0"/>
      <w:marTop w:val="0"/>
      <w:marBottom w:val="0"/>
      <w:divBdr>
        <w:top w:val="none" w:sz="0" w:space="0" w:color="auto"/>
        <w:left w:val="none" w:sz="0" w:space="0" w:color="auto"/>
        <w:bottom w:val="none" w:sz="0" w:space="0" w:color="auto"/>
        <w:right w:val="none" w:sz="0" w:space="0" w:color="auto"/>
      </w:divBdr>
    </w:div>
    <w:div w:id="744574977">
      <w:bodyDiv w:val="1"/>
      <w:marLeft w:val="0"/>
      <w:marRight w:val="0"/>
      <w:marTop w:val="0"/>
      <w:marBottom w:val="0"/>
      <w:divBdr>
        <w:top w:val="none" w:sz="0" w:space="0" w:color="auto"/>
        <w:left w:val="none" w:sz="0" w:space="0" w:color="auto"/>
        <w:bottom w:val="none" w:sz="0" w:space="0" w:color="auto"/>
        <w:right w:val="none" w:sz="0" w:space="0" w:color="auto"/>
      </w:divBdr>
    </w:div>
    <w:div w:id="759106377">
      <w:bodyDiv w:val="1"/>
      <w:marLeft w:val="0"/>
      <w:marRight w:val="0"/>
      <w:marTop w:val="0"/>
      <w:marBottom w:val="0"/>
      <w:divBdr>
        <w:top w:val="none" w:sz="0" w:space="0" w:color="auto"/>
        <w:left w:val="none" w:sz="0" w:space="0" w:color="auto"/>
        <w:bottom w:val="none" w:sz="0" w:space="0" w:color="auto"/>
        <w:right w:val="none" w:sz="0" w:space="0" w:color="auto"/>
      </w:divBdr>
    </w:div>
    <w:div w:id="953829993">
      <w:bodyDiv w:val="1"/>
      <w:marLeft w:val="0"/>
      <w:marRight w:val="0"/>
      <w:marTop w:val="0"/>
      <w:marBottom w:val="0"/>
      <w:divBdr>
        <w:top w:val="none" w:sz="0" w:space="0" w:color="auto"/>
        <w:left w:val="none" w:sz="0" w:space="0" w:color="auto"/>
        <w:bottom w:val="none" w:sz="0" w:space="0" w:color="auto"/>
        <w:right w:val="none" w:sz="0" w:space="0" w:color="auto"/>
      </w:divBdr>
    </w:div>
    <w:div w:id="1009721331">
      <w:bodyDiv w:val="1"/>
      <w:marLeft w:val="0"/>
      <w:marRight w:val="0"/>
      <w:marTop w:val="0"/>
      <w:marBottom w:val="0"/>
      <w:divBdr>
        <w:top w:val="none" w:sz="0" w:space="0" w:color="auto"/>
        <w:left w:val="none" w:sz="0" w:space="0" w:color="auto"/>
        <w:bottom w:val="none" w:sz="0" w:space="0" w:color="auto"/>
        <w:right w:val="none" w:sz="0" w:space="0" w:color="auto"/>
      </w:divBdr>
    </w:div>
    <w:div w:id="1053386243">
      <w:bodyDiv w:val="1"/>
      <w:marLeft w:val="0"/>
      <w:marRight w:val="0"/>
      <w:marTop w:val="0"/>
      <w:marBottom w:val="0"/>
      <w:divBdr>
        <w:top w:val="none" w:sz="0" w:space="0" w:color="auto"/>
        <w:left w:val="none" w:sz="0" w:space="0" w:color="auto"/>
        <w:bottom w:val="none" w:sz="0" w:space="0" w:color="auto"/>
        <w:right w:val="none" w:sz="0" w:space="0" w:color="auto"/>
      </w:divBdr>
    </w:div>
    <w:div w:id="1129518578">
      <w:bodyDiv w:val="1"/>
      <w:marLeft w:val="0"/>
      <w:marRight w:val="0"/>
      <w:marTop w:val="0"/>
      <w:marBottom w:val="0"/>
      <w:divBdr>
        <w:top w:val="none" w:sz="0" w:space="0" w:color="auto"/>
        <w:left w:val="none" w:sz="0" w:space="0" w:color="auto"/>
        <w:bottom w:val="none" w:sz="0" w:space="0" w:color="auto"/>
        <w:right w:val="none" w:sz="0" w:space="0" w:color="auto"/>
      </w:divBdr>
    </w:div>
    <w:div w:id="1130440894">
      <w:bodyDiv w:val="1"/>
      <w:marLeft w:val="0"/>
      <w:marRight w:val="0"/>
      <w:marTop w:val="0"/>
      <w:marBottom w:val="0"/>
      <w:divBdr>
        <w:top w:val="none" w:sz="0" w:space="0" w:color="auto"/>
        <w:left w:val="none" w:sz="0" w:space="0" w:color="auto"/>
        <w:bottom w:val="none" w:sz="0" w:space="0" w:color="auto"/>
        <w:right w:val="none" w:sz="0" w:space="0" w:color="auto"/>
      </w:divBdr>
    </w:div>
    <w:div w:id="1203400484">
      <w:bodyDiv w:val="1"/>
      <w:marLeft w:val="0"/>
      <w:marRight w:val="0"/>
      <w:marTop w:val="0"/>
      <w:marBottom w:val="0"/>
      <w:divBdr>
        <w:top w:val="none" w:sz="0" w:space="0" w:color="auto"/>
        <w:left w:val="none" w:sz="0" w:space="0" w:color="auto"/>
        <w:bottom w:val="none" w:sz="0" w:space="0" w:color="auto"/>
        <w:right w:val="none" w:sz="0" w:space="0" w:color="auto"/>
      </w:divBdr>
    </w:div>
    <w:div w:id="1318805032">
      <w:bodyDiv w:val="1"/>
      <w:marLeft w:val="0"/>
      <w:marRight w:val="0"/>
      <w:marTop w:val="0"/>
      <w:marBottom w:val="0"/>
      <w:divBdr>
        <w:top w:val="none" w:sz="0" w:space="0" w:color="auto"/>
        <w:left w:val="none" w:sz="0" w:space="0" w:color="auto"/>
        <w:bottom w:val="none" w:sz="0" w:space="0" w:color="auto"/>
        <w:right w:val="none" w:sz="0" w:space="0" w:color="auto"/>
      </w:divBdr>
    </w:div>
    <w:div w:id="1327367414">
      <w:bodyDiv w:val="1"/>
      <w:marLeft w:val="0"/>
      <w:marRight w:val="0"/>
      <w:marTop w:val="0"/>
      <w:marBottom w:val="0"/>
      <w:divBdr>
        <w:top w:val="none" w:sz="0" w:space="0" w:color="auto"/>
        <w:left w:val="none" w:sz="0" w:space="0" w:color="auto"/>
        <w:bottom w:val="none" w:sz="0" w:space="0" w:color="auto"/>
        <w:right w:val="none" w:sz="0" w:space="0" w:color="auto"/>
      </w:divBdr>
    </w:div>
    <w:div w:id="1694722048">
      <w:bodyDiv w:val="1"/>
      <w:marLeft w:val="0"/>
      <w:marRight w:val="0"/>
      <w:marTop w:val="0"/>
      <w:marBottom w:val="0"/>
      <w:divBdr>
        <w:top w:val="none" w:sz="0" w:space="0" w:color="auto"/>
        <w:left w:val="none" w:sz="0" w:space="0" w:color="auto"/>
        <w:bottom w:val="none" w:sz="0" w:space="0" w:color="auto"/>
        <w:right w:val="none" w:sz="0" w:space="0" w:color="auto"/>
      </w:divBdr>
    </w:div>
    <w:div w:id="1819416827">
      <w:bodyDiv w:val="1"/>
      <w:marLeft w:val="0"/>
      <w:marRight w:val="0"/>
      <w:marTop w:val="0"/>
      <w:marBottom w:val="0"/>
      <w:divBdr>
        <w:top w:val="none" w:sz="0" w:space="0" w:color="auto"/>
        <w:left w:val="none" w:sz="0" w:space="0" w:color="auto"/>
        <w:bottom w:val="none" w:sz="0" w:space="0" w:color="auto"/>
        <w:right w:val="none" w:sz="0" w:space="0" w:color="auto"/>
      </w:divBdr>
    </w:div>
    <w:div w:id="1880051594">
      <w:bodyDiv w:val="1"/>
      <w:marLeft w:val="0"/>
      <w:marRight w:val="0"/>
      <w:marTop w:val="0"/>
      <w:marBottom w:val="0"/>
      <w:divBdr>
        <w:top w:val="none" w:sz="0" w:space="0" w:color="auto"/>
        <w:left w:val="none" w:sz="0" w:space="0" w:color="auto"/>
        <w:bottom w:val="none" w:sz="0" w:space="0" w:color="auto"/>
        <w:right w:val="none" w:sz="0" w:space="0" w:color="auto"/>
      </w:divBdr>
    </w:div>
    <w:div w:id="1924289658">
      <w:bodyDiv w:val="1"/>
      <w:marLeft w:val="0"/>
      <w:marRight w:val="0"/>
      <w:marTop w:val="0"/>
      <w:marBottom w:val="0"/>
      <w:divBdr>
        <w:top w:val="none" w:sz="0" w:space="0" w:color="auto"/>
        <w:left w:val="none" w:sz="0" w:space="0" w:color="auto"/>
        <w:bottom w:val="none" w:sz="0" w:space="0" w:color="auto"/>
        <w:right w:val="none" w:sz="0" w:space="0" w:color="auto"/>
      </w:divBdr>
    </w:div>
    <w:div w:id="2057847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s://www.nice.org.uk/guidance/NG98"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5029D2-0A86-4AAC-827D-E7F88F164F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129</TotalTime>
  <Pages>5</Pages>
  <Words>1464</Words>
  <Characters>8350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NHS Shropshire CCG / NHS Telford CCG</Company>
  <LinksUpToDate>false</LinksUpToDate>
  <CharactersWithSpaces>9795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Alison Durrans</dc:creator>
  <cp:lastModifiedBy>Bernadette Williams</cp:lastModifiedBy>
  <cp:revision>6</cp:revision>
  <dcterms:created xsi:type="dcterms:W3CDTF">2020-07-21T13:49:00Z</dcterms:created>
  <dcterms:modified xsi:type="dcterms:W3CDTF">2020-07-22T15:07:00Z</dcterms:modified>
</cp:coreProperties>
</file>