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A3" w:rsidRPr="00C115A9" w:rsidRDefault="00926DA3" w:rsidP="00926DA3">
      <w:pPr>
        <w:pStyle w:val="Heading1"/>
        <w:jc w:val="center"/>
        <w:rPr>
          <w:sz w:val="20"/>
          <w:szCs w:val="20"/>
        </w:rPr>
      </w:pPr>
      <w:bookmarkStart w:id="0" w:name="_Toc343591381"/>
      <w:r w:rsidRPr="00C115A9">
        <w:rPr>
          <w:sz w:val="20"/>
          <w:szCs w:val="20"/>
        </w:rPr>
        <w:t>SCHEDULE 2 – THE SERVICES</w:t>
      </w:r>
      <w:bookmarkEnd w:id="0"/>
    </w:p>
    <w:p w:rsidR="00926DA3" w:rsidRPr="00C115A9" w:rsidRDefault="00926DA3" w:rsidP="00926DA3">
      <w:pPr>
        <w:spacing w:after="0"/>
        <w:jc w:val="center"/>
        <w:rPr>
          <w:rFonts w:ascii="Arial" w:hAnsi="Arial" w:cs="Arial"/>
          <w:b/>
          <w:sz w:val="20"/>
        </w:rPr>
      </w:pPr>
    </w:p>
    <w:p w:rsidR="00926DA3" w:rsidRPr="00707866" w:rsidRDefault="00926DA3" w:rsidP="00926DA3">
      <w:pPr>
        <w:pStyle w:val="ListParagraph"/>
        <w:numPr>
          <w:ilvl w:val="0"/>
          <w:numId w:val="1"/>
        </w:numPr>
        <w:ind w:left="0" w:firstLine="0"/>
        <w:contextualSpacing/>
        <w:jc w:val="center"/>
        <w:outlineLvl w:val="1"/>
        <w:rPr>
          <w:rFonts w:ascii="Arial" w:hAnsi="Arial" w:cs="Arial"/>
          <w:b/>
          <w:sz w:val="22"/>
          <w:szCs w:val="22"/>
        </w:rPr>
      </w:pPr>
      <w:bookmarkStart w:id="1" w:name="_Toc343591382"/>
      <w:r w:rsidRPr="00707866">
        <w:rPr>
          <w:rFonts w:ascii="Arial" w:hAnsi="Arial" w:cs="Arial"/>
          <w:b/>
          <w:sz w:val="22"/>
          <w:szCs w:val="22"/>
        </w:rPr>
        <w:t>Service Specifications</w:t>
      </w:r>
      <w:bookmarkEnd w:id="1"/>
    </w:p>
    <w:p w:rsidR="00926DA3" w:rsidRPr="00C115A9" w:rsidRDefault="00926DA3" w:rsidP="00926DA3">
      <w:pPr>
        <w:spacing w:after="0"/>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08"/>
        <w:gridCol w:w="5879"/>
      </w:tblGrid>
      <w:tr w:rsidR="00926DA3" w:rsidRPr="00C115A9" w:rsidTr="00707866">
        <w:trPr>
          <w:trHeight w:val="359"/>
        </w:trPr>
        <w:tc>
          <w:tcPr>
            <w:tcW w:w="3208" w:type="dxa"/>
            <w:shd w:val="clear" w:color="auto" w:fill="595959"/>
          </w:tcPr>
          <w:p w:rsidR="00926DA3" w:rsidRPr="007A5435" w:rsidRDefault="00926DA3" w:rsidP="003A3A05">
            <w:pPr>
              <w:spacing w:after="0" w:line="360" w:lineRule="auto"/>
              <w:rPr>
                <w:rFonts w:ascii="Arial" w:hAnsi="Arial" w:cs="Arial"/>
                <w:b/>
                <w:color w:val="F79646"/>
                <w:sz w:val="22"/>
                <w:szCs w:val="22"/>
              </w:rPr>
            </w:pPr>
            <w:r w:rsidRPr="007A5435">
              <w:rPr>
                <w:rFonts w:ascii="Arial" w:hAnsi="Arial" w:cs="Arial"/>
                <w:b/>
                <w:color w:val="F79646"/>
                <w:sz w:val="22"/>
                <w:szCs w:val="22"/>
              </w:rPr>
              <w:t>Service Specification No.</w:t>
            </w:r>
          </w:p>
        </w:tc>
        <w:tc>
          <w:tcPr>
            <w:tcW w:w="5879" w:type="dxa"/>
            <w:shd w:val="clear" w:color="auto" w:fill="auto"/>
          </w:tcPr>
          <w:p w:rsidR="00926DA3" w:rsidRPr="00707866" w:rsidRDefault="00926DA3" w:rsidP="001A1F1A">
            <w:pPr>
              <w:spacing w:after="0"/>
              <w:rPr>
                <w:rFonts w:ascii="Arial" w:hAnsi="Arial" w:cs="Arial"/>
                <w:sz w:val="22"/>
                <w:szCs w:val="22"/>
              </w:rPr>
            </w:pPr>
          </w:p>
        </w:tc>
      </w:tr>
      <w:tr w:rsidR="00926DA3" w:rsidRPr="00C115A9" w:rsidTr="00707866">
        <w:trPr>
          <w:trHeight w:val="520"/>
        </w:trPr>
        <w:tc>
          <w:tcPr>
            <w:tcW w:w="3208" w:type="dxa"/>
            <w:shd w:val="clear" w:color="auto" w:fill="595959"/>
          </w:tcPr>
          <w:p w:rsidR="00926DA3" w:rsidRPr="007A5435" w:rsidRDefault="00926DA3" w:rsidP="003A3A05">
            <w:pPr>
              <w:spacing w:after="0" w:line="360" w:lineRule="auto"/>
              <w:rPr>
                <w:rFonts w:ascii="Arial" w:hAnsi="Arial" w:cs="Arial"/>
                <w:b/>
                <w:color w:val="F79646"/>
                <w:sz w:val="22"/>
                <w:szCs w:val="22"/>
              </w:rPr>
            </w:pPr>
            <w:r w:rsidRPr="007A5435">
              <w:rPr>
                <w:rFonts w:ascii="Arial" w:hAnsi="Arial" w:cs="Arial"/>
                <w:b/>
                <w:color w:val="F79646"/>
                <w:sz w:val="22"/>
                <w:szCs w:val="22"/>
              </w:rPr>
              <w:t>Service</w:t>
            </w:r>
          </w:p>
        </w:tc>
        <w:tc>
          <w:tcPr>
            <w:tcW w:w="5879" w:type="dxa"/>
            <w:shd w:val="clear" w:color="auto" w:fill="auto"/>
          </w:tcPr>
          <w:p w:rsidR="00926DA3" w:rsidRPr="00707866" w:rsidRDefault="00624695" w:rsidP="00624695">
            <w:pPr>
              <w:spacing w:after="0"/>
              <w:rPr>
                <w:rFonts w:ascii="Arial" w:hAnsi="Arial" w:cs="Arial"/>
                <w:sz w:val="22"/>
                <w:szCs w:val="22"/>
              </w:rPr>
            </w:pPr>
            <w:r w:rsidRPr="00707866">
              <w:rPr>
                <w:rFonts w:ascii="Arial" w:hAnsi="Arial" w:cs="Arial"/>
                <w:sz w:val="22"/>
                <w:szCs w:val="22"/>
              </w:rPr>
              <w:t>Bariatric Surgery Management and Monitoring Service</w:t>
            </w:r>
          </w:p>
        </w:tc>
      </w:tr>
      <w:tr w:rsidR="00926DA3" w:rsidRPr="00C115A9" w:rsidTr="00707866">
        <w:trPr>
          <w:trHeight w:val="347"/>
        </w:trPr>
        <w:tc>
          <w:tcPr>
            <w:tcW w:w="3208" w:type="dxa"/>
            <w:shd w:val="clear" w:color="auto" w:fill="595959"/>
          </w:tcPr>
          <w:p w:rsidR="00926DA3" w:rsidRPr="007A5435" w:rsidRDefault="00926DA3" w:rsidP="003A3A05">
            <w:pPr>
              <w:spacing w:after="0" w:line="360" w:lineRule="auto"/>
              <w:rPr>
                <w:rFonts w:ascii="Arial" w:hAnsi="Arial" w:cs="Arial"/>
                <w:b/>
                <w:color w:val="F79646"/>
                <w:sz w:val="22"/>
                <w:szCs w:val="22"/>
              </w:rPr>
            </w:pPr>
            <w:r w:rsidRPr="007A5435">
              <w:rPr>
                <w:rFonts w:ascii="Arial" w:hAnsi="Arial" w:cs="Arial"/>
                <w:b/>
                <w:color w:val="F79646"/>
                <w:sz w:val="22"/>
                <w:szCs w:val="22"/>
              </w:rPr>
              <w:t>Commissioner Lead</w:t>
            </w:r>
          </w:p>
        </w:tc>
        <w:tc>
          <w:tcPr>
            <w:tcW w:w="5879" w:type="dxa"/>
            <w:shd w:val="clear" w:color="auto" w:fill="auto"/>
          </w:tcPr>
          <w:p w:rsidR="00926DA3" w:rsidRPr="00707866" w:rsidRDefault="00BD4E12" w:rsidP="00C53BE6">
            <w:pPr>
              <w:spacing w:after="0"/>
              <w:rPr>
                <w:rFonts w:ascii="Arial" w:hAnsi="Arial" w:cs="Arial"/>
                <w:sz w:val="22"/>
                <w:szCs w:val="22"/>
              </w:rPr>
            </w:pPr>
            <w:r w:rsidRPr="00707866">
              <w:rPr>
                <w:rFonts w:ascii="Arial" w:hAnsi="Arial" w:cs="Arial"/>
                <w:sz w:val="22"/>
                <w:szCs w:val="22"/>
              </w:rPr>
              <w:t xml:space="preserve">Head of Primary Care, </w:t>
            </w:r>
            <w:r w:rsidR="00DE5C98" w:rsidRPr="00707866">
              <w:rPr>
                <w:rFonts w:ascii="Arial" w:hAnsi="Arial" w:cs="Arial"/>
                <w:sz w:val="22"/>
                <w:szCs w:val="22"/>
              </w:rPr>
              <w:t>T</w:t>
            </w:r>
            <w:r w:rsidR="00C53BE6" w:rsidRPr="00707866">
              <w:rPr>
                <w:rFonts w:ascii="Arial" w:hAnsi="Arial" w:cs="Arial"/>
                <w:sz w:val="22"/>
                <w:szCs w:val="22"/>
              </w:rPr>
              <w:t>elford and Wrekin CCG</w:t>
            </w:r>
            <w:r w:rsidR="00A656C7" w:rsidRPr="00707866">
              <w:rPr>
                <w:rFonts w:ascii="Arial" w:hAnsi="Arial" w:cs="Arial"/>
                <w:sz w:val="22"/>
                <w:szCs w:val="22"/>
              </w:rPr>
              <w:t xml:space="preserve"> </w:t>
            </w:r>
          </w:p>
        </w:tc>
      </w:tr>
      <w:tr w:rsidR="00926DA3" w:rsidRPr="00C115A9" w:rsidTr="00707866">
        <w:trPr>
          <w:trHeight w:val="359"/>
        </w:trPr>
        <w:tc>
          <w:tcPr>
            <w:tcW w:w="3208" w:type="dxa"/>
            <w:shd w:val="clear" w:color="auto" w:fill="595959"/>
          </w:tcPr>
          <w:p w:rsidR="00926DA3" w:rsidRPr="007A5435" w:rsidRDefault="00926DA3" w:rsidP="003A3A05">
            <w:pPr>
              <w:spacing w:after="0" w:line="360" w:lineRule="auto"/>
              <w:rPr>
                <w:rFonts w:ascii="Arial" w:hAnsi="Arial" w:cs="Arial"/>
                <w:b/>
                <w:color w:val="F79646"/>
                <w:sz w:val="22"/>
                <w:szCs w:val="22"/>
              </w:rPr>
            </w:pPr>
            <w:r w:rsidRPr="007A5435">
              <w:rPr>
                <w:rFonts w:ascii="Arial" w:hAnsi="Arial" w:cs="Arial"/>
                <w:b/>
                <w:color w:val="F79646"/>
                <w:sz w:val="22"/>
                <w:szCs w:val="22"/>
              </w:rPr>
              <w:t>Provider Lead</w:t>
            </w:r>
          </w:p>
        </w:tc>
        <w:tc>
          <w:tcPr>
            <w:tcW w:w="5879" w:type="dxa"/>
            <w:shd w:val="clear" w:color="auto" w:fill="auto"/>
          </w:tcPr>
          <w:p w:rsidR="00926DA3" w:rsidRPr="00707866" w:rsidRDefault="00A656C7" w:rsidP="003A3A05">
            <w:pPr>
              <w:spacing w:after="0"/>
              <w:rPr>
                <w:rFonts w:ascii="Arial" w:hAnsi="Arial" w:cs="Arial"/>
                <w:sz w:val="22"/>
                <w:szCs w:val="22"/>
              </w:rPr>
            </w:pPr>
            <w:r w:rsidRPr="00707866">
              <w:rPr>
                <w:rFonts w:ascii="Arial" w:hAnsi="Arial" w:cs="Arial"/>
                <w:sz w:val="22"/>
                <w:szCs w:val="22"/>
              </w:rPr>
              <w:t>General Practice</w:t>
            </w:r>
          </w:p>
        </w:tc>
      </w:tr>
      <w:tr w:rsidR="00926DA3" w:rsidRPr="00C115A9" w:rsidTr="00707866">
        <w:trPr>
          <w:trHeight w:val="359"/>
        </w:trPr>
        <w:tc>
          <w:tcPr>
            <w:tcW w:w="3208" w:type="dxa"/>
            <w:shd w:val="clear" w:color="auto" w:fill="595959"/>
          </w:tcPr>
          <w:p w:rsidR="00926DA3" w:rsidRPr="007A5435" w:rsidRDefault="00926DA3" w:rsidP="003A3A05">
            <w:pPr>
              <w:spacing w:after="0" w:line="360" w:lineRule="auto"/>
              <w:rPr>
                <w:rFonts w:ascii="Arial" w:hAnsi="Arial" w:cs="Arial"/>
                <w:b/>
                <w:color w:val="F79646"/>
                <w:sz w:val="22"/>
                <w:szCs w:val="22"/>
              </w:rPr>
            </w:pPr>
            <w:r w:rsidRPr="007A5435">
              <w:rPr>
                <w:rFonts w:ascii="Arial" w:hAnsi="Arial" w:cs="Arial"/>
                <w:b/>
                <w:color w:val="F79646"/>
                <w:sz w:val="22"/>
                <w:szCs w:val="22"/>
              </w:rPr>
              <w:t>Period</w:t>
            </w:r>
          </w:p>
        </w:tc>
        <w:tc>
          <w:tcPr>
            <w:tcW w:w="5879" w:type="dxa"/>
            <w:shd w:val="clear" w:color="auto" w:fill="auto"/>
          </w:tcPr>
          <w:p w:rsidR="00926DA3" w:rsidRPr="00707866" w:rsidRDefault="00A656C7" w:rsidP="001A1F1A">
            <w:pPr>
              <w:spacing w:after="0"/>
              <w:rPr>
                <w:rFonts w:ascii="Arial" w:hAnsi="Arial" w:cs="Arial"/>
                <w:sz w:val="22"/>
                <w:szCs w:val="22"/>
              </w:rPr>
            </w:pPr>
            <w:r w:rsidRPr="00707866">
              <w:rPr>
                <w:rFonts w:ascii="Arial" w:hAnsi="Arial" w:cs="Arial"/>
                <w:sz w:val="22"/>
                <w:szCs w:val="22"/>
              </w:rPr>
              <w:t>1</w:t>
            </w:r>
            <w:r w:rsidRPr="00707866">
              <w:rPr>
                <w:rFonts w:ascii="Arial" w:hAnsi="Arial" w:cs="Arial"/>
                <w:sz w:val="22"/>
                <w:szCs w:val="22"/>
                <w:vertAlign w:val="superscript"/>
              </w:rPr>
              <w:t>st</w:t>
            </w:r>
            <w:r w:rsidRPr="00707866">
              <w:rPr>
                <w:rFonts w:ascii="Arial" w:hAnsi="Arial" w:cs="Arial"/>
                <w:sz w:val="22"/>
                <w:szCs w:val="22"/>
              </w:rPr>
              <w:t xml:space="preserve"> April 20</w:t>
            </w:r>
            <w:r w:rsidR="001A1F1A">
              <w:rPr>
                <w:rFonts w:ascii="Arial" w:hAnsi="Arial" w:cs="Arial"/>
                <w:sz w:val="22"/>
                <w:szCs w:val="22"/>
              </w:rPr>
              <w:t>20</w:t>
            </w:r>
            <w:r w:rsidRPr="00707866">
              <w:rPr>
                <w:rFonts w:ascii="Arial" w:hAnsi="Arial" w:cs="Arial"/>
                <w:sz w:val="22"/>
                <w:szCs w:val="22"/>
              </w:rPr>
              <w:t xml:space="preserve"> – 31</w:t>
            </w:r>
            <w:r w:rsidRPr="00707866">
              <w:rPr>
                <w:rFonts w:ascii="Arial" w:hAnsi="Arial" w:cs="Arial"/>
                <w:sz w:val="22"/>
                <w:szCs w:val="22"/>
                <w:vertAlign w:val="superscript"/>
              </w:rPr>
              <w:t>st</w:t>
            </w:r>
            <w:r w:rsidRPr="00707866">
              <w:rPr>
                <w:rFonts w:ascii="Arial" w:hAnsi="Arial" w:cs="Arial"/>
                <w:sz w:val="22"/>
                <w:szCs w:val="22"/>
              </w:rPr>
              <w:t xml:space="preserve"> March 20</w:t>
            </w:r>
            <w:r w:rsidR="00DE5C98" w:rsidRPr="00707866">
              <w:rPr>
                <w:rFonts w:ascii="Arial" w:hAnsi="Arial" w:cs="Arial"/>
                <w:sz w:val="22"/>
                <w:szCs w:val="22"/>
              </w:rPr>
              <w:t>2</w:t>
            </w:r>
            <w:r w:rsidR="001A1F1A">
              <w:rPr>
                <w:rFonts w:ascii="Arial" w:hAnsi="Arial" w:cs="Arial"/>
                <w:sz w:val="22"/>
                <w:szCs w:val="22"/>
              </w:rPr>
              <w:t>1</w:t>
            </w:r>
          </w:p>
        </w:tc>
      </w:tr>
      <w:tr w:rsidR="00926DA3" w:rsidRPr="00C115A9" w:rsidTr="00707866">
        <w:trPr>
          <w:trHeight w:val="359"/>
        </w:trPr>
        <w:tc>
          <w:tcPr>
            <w:tcW w:w="3208" w:type="dxa"/>
            <w:shd w:val="clear" w:color="auto" w:fill="595959"/>
          </w:tcPr>
          <w:p w:rsidR="00926DA3" w:rsidRPr="007A5435" w:rsidRDefault="00926DA3" w:rsidP="003A3A05">
            <w:pPr>
              <w:spacing w:after="0" w:line="360" w:lineRule="auto"/>
              <w:rPr>
                <w:rFonts w:ascii="Arial" w:hAnsi="Arial" w:cs="Arial"/>
                <w:b/>
                <w:color w:val="F79646"/>
                <w:sz w:val="22"/>
                <w:szCs w:val="22"/>
              </w:rPr>
            </w:pPr>
            <w:r w:rsidRPr="007A5435">
              <w:rPr>
                <w:rFonts w:ascii="Arial" w:hAnsi="Arial" w:cs="Arial"/>
                <w:b/>
                <w:color w:val="F79646"/>
                <w:sz w:val="22"/>
                <w:szCs w:val="22"/>
              </w:rPr>
              <w:t>Date of Review</w:t>
            </w:r>
          </w:p>
        </w:tc>
        <w:tc>
          <w:tcPr>
            <w:tcW w:w="5879" w:type="dxa"/>
            <w:shd w:val="clear" w:color="auto" w:fill="auto"/>
          </w:tcPr>
          <w:p w:rsidR="00926DA3" w:rsidRPr="00707866" w:rsidRDefault="001A1F1A" w:rsidP="001A1F1A">
            <w:pPr>
              <w:spacing w:after="0"/>
              <w:rPr>
                <w:rFonts w:ascii="Arial" w:hAnsi="Arial" w:cs="Arial"/>
                <w:sz w:val="22"/>
                <w:szCs w:val="22"/>
                <w:highlight w:val="yellow"/>
              </w:rPr>
            </w:pPr>
            <w:r>
              <w:rPr>
                <w:rFonts w:ascii="Arial" w:hAnsi="Arial" w:cs="Arial"/>
                <w:sz w:val="22"/>
                <w:szCs w:val="22"/>
              </w:rPr>
              <w:t xml:space="preserve">October </w:t>
            </w:r>
            <w:r w:rsidR="00BD4E12" w:rsidRPr="00707866">
              <w:rPr>
                <w:rFonts w:ascii="Arial" w:hAnsi="Arial" w:cs="Arial"/>
                <w:sz w:val="22"/>
                <w:szCs w:val="22"/>
              </w:rPr>
              <w:t>20</w:t>
            </w:r>
            <w:r>
              <w:rPr>
                <w:rFonts w:ascii="Arial" w:hAnsi="Arial" w:cs="Arial"/>
                <w:sz w:val="22"/>
                <w:szCs w:val="22"/>
              </w:rPr>
              <w:t>20</w:t>
            </w:r>
          </w:p>
        </w:tc>
      </w:tr>
    </w:tbl>
    <w:p w:rsidR="00926DA3" w:rsidRPr="00624695" w:rsidRDefault="00926DA3" w:rsidP="00926DA3">
      <w:pPr>
        <w:spacing w:after="0"/>
        <w:jc w:val="center"/>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9"/>
      </w:tblGrid>
      <w:tr w:rsidR="00926DA3" w:rsidRPr="00C115A9" w:rsidTr="00707866">
        <w:trPr>
          <w:trHeight w:val="118"/>
        </w:trPr>
        <w:tc>
          <w:tcPr>
            <w:tcW w:w="9159" w:type="dxa"/>
            <w:shd w:val="clear" w:color="auto" w:fill="595959"/>
          </w:tcPr>
          <w:p w:rsidR="00926DA3" w:rsidRPr="00C115A9" w:rsidRDefault="00926DA3" w:rsidP="003A3A05">
            <w:pPr>
              <w:spacing w:after="0" w:line="276" w:lineRule="auto"/>
              <w:rPr>
                <w:rFonts w:ascii="Arial" w:hAnsi="Arial" w:cs="Arial"/>
                <w:b/>
                <w:color w:val="F79646"/>
                <w:sz w:val="20"/>
              </w:rPr>
            </w:pPr>
            <w:r w:rsidRPr="00C115A9">
              <w:rPr>
                <w:rFonts w:ascii="Arial" w:hAnsi="Arial" w:cs="Arial"/>
                <w:b/>
                <w:color w:val="F79646"/>
                <w:sz w:val="20"/>
              </w:rPr>
              <w:t>1.</w:t>
            </w:r>
            <w:r w:rsidRPr="00C115A9">
              <w:rPr>
                <w:rFonts w:ascii="Arial" w:hAnsi="Arial" w:cs="Arial"/>
                <w:b/>
                <w:color w:val="F79646"/>
                <w:sz w:val="20"/>
              </w:rPr>
              <w:tab/>
            </w:r>
            <w:r w:rsidRPr="007A5435">
              <w:rPr>
                <w:rFonts w:ascii="Arial" w:hAnsi="Arial" w:cs="Arial"/>
                <w:b/>
                <w:color w:val="F79646"/>
                <w:sz w:val="22"/>
                <w:szCs w:val="22"/>
              </w:rPr>
              <w:t>Population Needs</w:t>
            </w:r>
          </w:p>
        </w:tc>
      </w:tr>
      <w:tr w:rsidR="00926DA3" w:rsidRPr="00C115A9" w:rsidTr="00707866">
        <w:trPr>
          <w:trHeight w:val="3145"/>
        </w:trPr>
        <w:tc>
          <w:tcPr>
            <w:tcW w:w="9159" w:type="dxa"/>
            <w:shd w:val="clear" w:color="auto" w:fill="auto"/>
          </w:tcPr>
          <w:p w:rsidR="0036539D" w:rsidRPr="00707866" w:rsidRDefault="0036539D" w:rsidP="0036539D">
            <w:pPr>
              <w:numPr>
                <w:ilvl w:val="1"/>
                <w:numId w:val="2"/>
              </w:numPr>
              <w:spacing w:after="0"/>
              <w:rPr>
                <w:rFonts w:ascii="Arial" w:hAnsi="Arial" w:cs="Arial"/>
                <w:b/>
                <w:color w:val="009966"/>
                <w:sz w:val="22"/>
                <w:szCs w:val="22"/>
              </w:rPr>
            </w:pPr>
            <w:r w:rsidRPr="00C53BE6">
              <w:rPr>
                <w:rFonts w:ascii="Arial" w:hAnsi="Arial" w:cs="Arial"/>
                <w:b/>
                <w:sz w:val="20"/>
              </w:rPr>
              <w:tab/>
            </w:r>
            <w:r w:rsidRPr="00707866">
              <w:rPr>
                <w:rFonts w:ascii="Arial" w:hAnsi="Arial" w:cs="Arial"/>
                <w:b/>
                <w:sz w:val="22"/>
                <w:szCs w:val="22"/>
              </w:rPr>
              <w:t>National/local context and evidence base</w:t>
            </w:r>
          </w:p>
          <w:p w:rsidR="00926DA3" w:rsidRPr="00624695" w:rsidRDefault="00926DA3" w:rsidP="003A3A05">
            <w:pPr>
              <w:spacing w:after="0"/>
              <w:ind w:left="34"/>
              <w:rPr>
                <w:rFonts w:ascii="Arial" w:hAnsi="Arial" w:cs="Arial"/>
                <w:color w:val="009966"/>
                <w:sz w:val="16"/>
                <w:szCs w:val="16"/>
              </w:rPr>
            </w:pPr>
          </w:p>
          <w:p w:rsidR="002A7A90" w:rsidRDefault="00DE5C98" w:rsidP="00C53BE6">
            <w:pPr>
              <w:autoSpaceDE w:val="0"/>
              <w:autoSpaceDN w:val="0"/>
              <w:adjustRightInd w:val="0"/>
              <w:spacing w:after="0"/>
              <w:jc w:val="both"/>
              <w:rPr>
                <w:rFonts w:ascii="Arial" w:eastAsia="Calibri" w:hAnsi="Arial" w:cs="Arial"/>
                <w:color w:val="000000"/>
                <w:sz w:val="22"/>
                <w:szCs w:val="22"/>
                <w:lang w:val="en-GB" w:eastAsia="en-US"/>
              </w:rPr>
            </w:pPr>
            <w:r>
              <w:rPr>
                <w:rFonts w:ascii="Arial" w:eastAsia="Calibri" w:hAnsi="Arial" w:cs="Arial"/>
                <w:color w:val="000000"/>
                <w:sz w:val="22"/>
                <w:szCs w:val="22"/>
                <w:lang w:val="en-GB" w:eastAsia="en-US"/>
              </w:rPr>
              <w:t>T</w:t>
            </w:r>
            <w:r w:rsidR="00C53BE6">
              <w:rPr>
                <w:rFonts w:ascii="Arial" w:eastAsia="Calibri" w:hAnsi="Arial" w:cs="Arial"/>
                <w:color w:val="000000"/>
                <w:sz w:val="22"/>
                <w:szCs w:val="22"/>
                <w:lang w:val="en-GB" w:eastAsia="en-US"/>
              </w:rPr>
              <w:t xml:space="preserve">elford and Wrekin </w:t>
            </w:r>
            <w:r w:rsidR="002A7A90" w:rsidRPr="001D709A">
              <w:rPr>
                <w:rFonts w:ascii="Arial" w:eastAsia="Calibri" w:hAnsi="Arial" w:cs="Arial"/>
                <w:color w:val="000000"/>
                <w:sz w:val="22"/>
                <w:szCs w:val="22"/>
                <w:lang w:val="en-GB" w:eastAsia="en-US"/>
              </w:rPr>
              <w:t>CCG will ensure delivery of the nationally determined improvement areas as detailed</w:t>
            </w:r>
            <w:r w:rsidR="002A7A90">
              <w:rPr>
                <w:rFonts w:ascii="Arial" w:eastAsia="Calibri" w:hAnsi="Arial" w:cs="Arial"/>
                <w:color w:val="000000"/>
                <w:sz w:val="22"/>
                <w:szCs w:val="22"/>
                <w:lang w:val="en-GB" w:eastAsia="en-US"/>
              </w:rPr>
              <w:t xml:space="preserve"> </w:t>
            </w:r>
            <w:r w:rsidR="002A7A90" w:rsidRPr="001D709A">
              <w:rPr>
                <w:rFonts w:ascii="Arial" w:eastAsia="Calibri" w:hAnsi="Arial" w:cs="Arial"/>
                <w:color w:val="000000"/>
                <w:sz w:val="22"/>
                <w:szCs w:val="22"/>
                <w:lang w:val="en-GB" w:eastAsia="en-US"/>
              </w:rPr>
              <w:t xml:space="preserve">within the Department of Health </w:t>
            </w:r>
            <w:r w:rsidR="002A7A90" w:rsidRPr="001D709A">
              <w:rPr>
                <w:rFonts w:ascii="Arial" w:eastAsia="Calibri" w:hAnsi="Arial" w:cs="Arial"/>
                <w:i/>
                <w:iCs/>
                <w:color w:val="000000"/>
                <w:sz w:val="22"/>
                <w:szCs w:val="22"/>
                <w:lang w:val="en-GB" w:eastAsia="en-US"/>
              </w:rPr>
              <w:t xml:space="preserve">Our </w:t>
            </w:r>
            <w:r w:rsidR="002A7A90" w:rsidRPr="001D709A">
              <w:rPr>
                <w:rFonts w:ascii="Arial" w:eastAsia="Calibri" w:hAnsi="Arial" w:cs="Arial"/>
                <w:color w:val="000000"/>
                <w:sz w:val="22"/>
                <w:szCs w:val="22"/>
                <w:lang w:val="en-GB" w:eastAsia="en-US"/>
              </w:rPr>
              <w:t>NHS Care Objectives 3 draft mandate; within the</w:t>
            </w:r>
            <w:r w:rsidR="002A7A90">
              <w:rPr>
                <w:rFonts w:ascii="Arial" w:eastAsia="Calibri" w:hAnsi="Arial" w:cs="Arial"/>
                <w:color w:val="000000"/>
                <w:sz w:val="22"/>
                <w:szCs w:val="22"/>
                <w:lang w:val="en-GB" w:eastAsia="en-US"/>
              </w:rPr>
              <w:t xml:space="preserve"> </w:t>
            </w:r>
            <w:r w:rsidR="002A7A90" w:rsidRPr="001D709A">
              <w:rPr>
                <w:rFonts w:ascii="Arial" w:eastAsia="Calibri" w:hAnsi="Arial" w:cs="Arial"/>
                <w:color w:val="000000"/>
                <w:sz w:val="22"/>
                <w:szCs w:val="22"/>
                <w:lang w:val="en-GB" w:eastAsia="en-US"/>
              </w:rPr>
              <w:t>following five domains:</w:t>
            </w:r>
          </w:p>
          <w:p w:rsidR="002A7A90" w:rsidRPr="00624695" w:rsidRDefault="002A7A90" w:rsidP="00C53BE6">
            <w:pPr>
              <w:autoSpaceDE w:val="0"/>
              <w:autoSpaceDN w:val="0"/>
              <w:adjustRightInd w:val="0"/>
              <w:spacing w:after="0"/>
              <w:jc w:val="both"/>
              <w:rPr>
                <w:rFonts w:ascii="Arial" w:eastAsia="Calibri" w:hAnsi="Arial" w:cs="Arial"/>
                <w:color w:val="000000"/>
                <w:sz w:val="16"/>
                <w:szCs w:val="16"/>
                <w:lang w:val="en-GB" w:eastAsia="en-US"/>
              </w:rPr>
            </w:pPr>
          </w:p>
          <w:p w:rsidR="002A7A90" w:rsidRPr="00C53BE6" w:rsidRDefault="002A7A90" w:rsidP="00C53BE6">
            <w:pPr>
              <w:pStyle w:val="ListParagraph"/>
              <w:numPr>
                <w:ilvl w:val="0"/>
                <w:numId w:val="37"/>
              </w:numPr>
              <w:autoSpaceDE w:val="0"/>
              <w:autoSpaceDN w:val="0"/>
              <w:adjustRightInd w:val="0"/>
              <w:jc w:val="both"/>
              <w:rPr>
                <w:rFonts w:ascii="Arial" w:eastAsia="Calibri" w:hAnsi="Arial" w:cs="Arial"/>
                <w:color w:val="000000"/>
                <w:sz w:val="22"/>
                <w:szCs w:val="22"/>
                <w:lang w:eastAsia="en-US"/>
              </w:rPr>
            </w:pPr>
            <w:r w:rsidRPr="00C53BE6">
              <w:rPr>
                <w:rFonts w:ascii="Arial" w:eastAsia="Calibri" w:hAnsi="Arial" w:cs="Arial"/>
                <w:color w:val="000000"/>
                <w:sz w:val="22"/>
                <w:szCs w:val="22"/>
                <w:lang w:eastAsia="en-US"/>
              </w:rPr>
              <w:t>Preventing people from dying prematurely.</w:t>
            </w:r>
          </w:p>
          <w:p w:rsidR="002A7A90" w:rsidRPr="00C53BE6" w:rsidRDefault="002A7A90" w:rsidP="00C53BE6">
            <w:pPr>
              <w:pStyle w:val="ListParagraph"/>
              <w:numPr>
                <w:ilvl w:val="0"/>
                <w:numId w:val="37"/>
              </w:numPr>
              <w:autoSpaceDE w:val="0"/>
              <w:autoSpaceDN w:val="0"/>
              <w:adjustRightInd w:val="0"/>
              <w:jc w:val="both"/>
              <w:rPr>
                <w:rFonts w:ascii="Arial" w:eastAsia="Calibri" w:hAnsi="Arial" w:cs="Arial"/>
                <w:color w:val="000000"/>
                <w:sz w:val="22"/>
                <w:szCs w:val="22"/>
                <w:lang w:eastAsia="en-US"/>
              </w:rPr>
            </w:pPr>
            <w:r w:rsidRPr="00C53BE6">
              <w:rPr>
                <w:rFonts w:ascii="Arial" w:eastAsia="Calibri" w:hAnsi="Arial" w:cs="Arial"/>
                <w:color w:val="000000"/>
                <w:sz w:val="22"/>
                <w:szCs w:val="22"/>
                <w:lang w:eastAsia="en-US"/>
              </w:rPr>
              <w:t>Enhancing quality of life for people with long term condition</w:t>
            </w:r>
            <w:r w:rsidR="0015638E">
              <w:rPr>
                <w:rFonts w:ascii="Arial" w:eastAsia="Calibri" w:hAnsi="Arial" w:cs="Arial"/>
                <w:color w:val="000000"/>
                <w:sz w:val="22"/>
                <w:szCs w:val="22"/>
                <w:lang w:eastAsia="en-US"/>
              </w:rPr>
              <w:t>s</w:t>
            </w:r>
            <w:r w:rsidRPr="00C53BE6">
              <w:rPr>
                <w:rFonts w:ascii="Arial" w:eastAsia="Calibri" w:hAnsi="Arial" w:cs="Arial"/>
                <w:color w:val="000000"/>
                <w:sz w:val="22"/>
                <w:szCs w:val="22"/>
                <w:lang w:eastAsia="en-US"/>
              </w:rPr>
              <w:t>.</w:t>
            </w:r>
          </w:p>
          <w:p w:rsidR="002A7A90" w:rsidRPr="00C53BE6" w:rsidRDefault="002A7A90" w:rsidP="00C53BE6">
            <w:pPr>
              <w:pStyle w:val="ListParagraph"/>
              <w:numPr>
                <w:ilvl w:val="0"/>
                <w:numId w:val="37"/>
              </w:numPr>
              <w:autoSpaceDE w:val="0"/>
              <w:autoSpaceDN w:val="0"/>
              <w:adjustRightInd w:val="0"/>
              <w:jc w:val="both"/>
              <w:rPr>
                <w:rFonts w:ascii="Arial" w:eastAsia="Calibri" w:hAnsi="Arial" w:cs="Arial"/>
                <w:color w:val="000000"/>
                <w:sz w:val="22"/>
                <w:szCs w:val="22"/>
                <w:lang w:eastAsia="en-US"/>
              </w:rPr>
            </w:pPr>
            <w:r w:rsidRPr="00C53BE6">
              <w:rPr>
                <w:rFonts w:ascii="Arial" w:eastAsia="Calibri" w:hAnsi="Arial" w:cs="Arial"/>
                <w:color w:val="000000"/>
                <w:sz w:val="22"/>
                <w:szCs w:val="22"/>
                <w:lang w:eastAsia="en-US"/>
              </w:rPr>
              <w:t>Helping people to recover from episodes of ill health or following injury ensuring people have a positive experience of care.</w:t>
            </w:r>
          </w:p>
          <w:p w:rsidR="002A7A90" w:rsidRPr="00C53BE6" w:rsidRDefault="002A7A90" w:rsidP="00C53BE6">
            <w:pPr>
              <w:pStyle w:val="ListParagraph"/>
              <w:numPr>
                <w:ilvl w:val="0"/>
                <w:numId w:val="37"/>
              </w:numPr>
              <w:autoSpaceDE w:val="0"/>
              <w:autoSpaceDN w:val="0"/>
              <w:adjustRightInd w:val="0"/>
              <w:jc w:val="both"/>
              <w:rPr>
                <w:rFonts w:ascii="Arial" w:eastAsia="Calibri" w:hAnsi="Arial" w:cs="Arial"/>
                <w:color w:val="000000"/>
                <w:sz w:val="22"/>
                <w:szCs w:val="22"/>
                <w:lang w:eastAsia="en-US"/>
              </w:rPr>
            </w:pPr>
            <w:r w:rsidRPr="00C53BE6">
              <w:rPr>
                <w:rFonts w:ascii="Arial" w:eastAsia="Calibri" w:hAnsi="Arial" w:cs="Arial"/>
                <w:color w:val="000000"/>
                <w:sz w:val="22"/>
                <w:szCs w:val="22"/>
                <w:lang w:eastAsia="en-US"/>
              </w:rPr>
              <w:t>Treating and caring for people in a safe environment and protecting them from avoidable harm.</w:t>
            </w:r>
          </w:p>
          <w:p w:rsidR="002A7A90" w:rsidRPr="00624695" w:rsidRDefault="002A7A90" w:rsidP="00C53BE6">
            <w:pPr>
              <w:autoSpaceDE w:val="0"/>
              <w:autoSpaceDN w:val="0"/>
              <w:adjustRightInd w:val="0"/>
              <w:spacing w:after="0"/>
              <w:jc w:val="both"/>
              <w:rPr>
                <w:rFonts w:ascii="Arial" w:eastAsia="Calibri" w:hAnsi="Arial" w:cs="Arial"/>
                <w:color w:val="000000"/>
                <w:sz w:val="16"/>
                <w:szCs w:val="16"/>
                <w:lang w:val="en-GB" w:eastAsia="en-US"/>
              </w:rPr>
            </w:pPr>
          </w:p>
          <w:p w:rsidR="002A7A90" w:rsidRPr="001D709A" w:rsidRDefault="002A7A90" w:rsidP="00C53BE6">
            <w:pPr>
              <w:autoSpaceDE w:val="0"/>
              <w:autoSpaceDN w:val="0"/>
              <w:adjustRightInd w:val="0"/>
              <w:spacing w:after="0"/>
              <w:jc w:val="both"/>
              <w:rPr>
                <w:rFonts w:ascii="Arial" w:eastAsia="Calibri" w:hAnsi="Arial" w:cs="Arial"/>
                <w:color w:val="000000"/>
                <w:sz w:val="22"/>
                <w:szCs w:val="22"/>
                <w:lang w:val="en-GB" w:eastAsia="en-US"/>
              </w:rPr>
            </w:pPr>
            <w:r w:rsidRPr="001D709A">
              <w:rPr>
                <w:rFonts w:ascii="Arial" w:eastAsia="Calibri" w:hAnsi="Arial" w:cs="Arial"/>
                <w:color w:val="000000"/>
                <w:sz w:val="22"/>
                <w:szCs w:val="22"/>
                <w:lang w:val="en-GB" w:eastAsia="en-US"/>
              </w:rPr>
              <w:t>Delivery of better health outcomes within these domains underpins the strategic priorities</w:t>
            </w:r>
            <w:r>
              <w:rPr>
                <w:rFonts w:ascii="Arial" w:eastAsia="Calibri" w:hAnsi="Arial" w:cs="Arial"/>
                <w:color w:val="000000"/>
                <w:sz w:val="22"/>
                <w:szCs w:val="22"/>
                <w:lang w:val="en-GB" w:eastAsia="en-US"/>
              </w:rPr>
              <w:t xml:space="preserve"> o</w:t>
            </w:r>
            <w:r w:rsidRPr="001D709A">
              <w:rPr>
                <w:rFonts w:ascii="Arial" w:eastAsia="Calibri" w:hAnsi="Arial" w:cs="Arial"/>
                <w:color w:val="000000"/>
                <w:sz w:val="22"/>
                <w:szCs w:val="22"/>
                <w:lang w:val="en-GB" w:eastAsia="en-US"/>
              </w:rPr>
              <w:t>f the CCG.</w:t>
            </w:r>
            <w:r>
              <w:rPr>
                <w:rFonts w:ascii="Arial" w:eastAsia="Calibri" w:hAnsi="Arial" w:cs="Arial"/>
                <w:color w:val="000000"/>
                <w:sz w:val="22"/>
                <w:szCs w:val="22"/>
                <w:lang w:val="en-GB" w:eastAsia="en-US"/>
              </w:rPr>
              <w:t xml:space="preserve"> </w:t>
            </w:r>
            <w:r w:rsidRPr="001D709A">
              <w:rPr>
                <w:rFonts w:ascii="Arial" w:eastAsia="Calibri" w:hAnsi="Arial" w:cs="Arial"/>
                <w:color w:val="000000"/>
                <w:sz w:val="22"/>
                <w:szCs w:val="22"/>
                <w:lang w:val="en-GB" w:eastAsia="en-US"/>
              </w:rPr>
              <w:t>The CCG is also committed to the delivery of regionally mandated service improvements</w:t>
            </w:r>
            <w:r>
              <w:rPr>
                <w:rFonts w:ascii="Arial" w:eastAsia="Calibri" w:hAnsi="Arial" w:cs="Arial"/>
                <w:color w:val="000000"/>
                <w:sz w:val="22"/>
                <w:szCs w:val="22"/>
                <w:lang w:val="en-GB" w:eastAsia="en-US"/>
              </w:rPr>
              <w:t xml:space="preserve"> </w:t>
            </w:r>
            <w:r w:rsidRPr="001D709A">
              <w:rPr>
                <w:rFonts w:ascii="Arial" w:eastAsia="Calibri" w:hAnsi="Arial" w:cs="Arial"/>
                <w:color w:val="000000"/>
                <w:sz w:val="22"/>
                <w:szCs w:val="22"/>
                <w:lang w:val="en-GB" w:eastAsia="en-US"/>
              </w:rPr>
              <w:t>where they are shown to improve patient outcomes or reduce inequalities.</w:t>
            </w:r>
          </w:p>
          <w:p w:rsidR="002A7A90" w:rsidRPr="00624695" w:rsidRDefault="002A7A90" w:rsidP="00C53BE6">
            <w:pPr>
              <w:autoSpaceDE w:val="0"/>
              <w:autoSpaceDN w:val="0"/>
              <w:adjustRightInd w:val="0"/>
              <w:spacing w:after="0"/>
              <w:jc w:val="both"/>
              <w:rPr>
                <w:rFonts w:ascii="Arial" w:eastAsia="Calibri" w:hAnsi="Arial" w:cs="Arial"/>
                <w:b/>
                <w:bCs/>
                <w:color w:val="000000"/>
                <w:sz w:val="16"/>
                <w:szCs w:val="16"/>
                <w:lang w:val="en-GB" w:eastAsia="en-US"/>
              </w:rPr>
            </w:pPr>
          </w:p>
          <w:p w:rsidR="002A7A90" w:rsidRDefault="00C53BE6" w:rsidP="00C53BE6">
            <w:pPr>
              <w:autoSpaceDE w:val="0"/>
              <w:autoSpaceDN w:val="0"/>
              <w:adjustRightInd w:val="0"/>
              <w:spacing w:after="0"/>
              <w:jc w:val="both"/>
              <w:rPr>
                <w:rFonts w:ascii="Arial" w:eastAsia="Calibri" w:hAnsi="Arial" w:cs="Arial"/>
                <w:color w:val="000000"/>
                <w:sz w:val="22"/>
                <w:szCs w:val="22"/>
                <w:lang w:val="en-GB" w:eastAsia="en-US"/>
              </w:rPr>
            </w:pPr>
            <w:r>
              <w:rPr>
                <w:rFonts w:ascii="Arial" w:eastAsia="Calibri" w:hAnsi="Arial" w:cs="Arial"/>
                <w:color w:val="000000"/>
                <w:sz w:val="22"/>
                <w:szCs w:val="22"/>
                <w:lang w:val="en-GB" w:eastAsia="en-US"/>
              </w:rPr>
              <w:t xml:space="preserve">Telford and Wrekin </w:t>
            </w:r>
            <w:r w:rsidR="002A7A90" w:rsidRPr="001D709A">
              <w:rPr>
                <w:rFonts w:ascii="Arial" w:eastAsia="Calibri" w:hAnsi="Arial" w:cs="Arial"/>
                <w:color w:val="000000"/>
                <w:sz w:val="22"/>
                <w:szCs w:val="22"/>
                <w:lang w:val="en-GB" w:eastAsia="en-US"/>
              </w:rPr>
              <w:t>CCG priorities are:</w:t>
            </w:r>
          </w:p>
          <w:p w:rsidR="00345911" w:rsidRPr="00624695" w:rsidRDefault="00345911" w:rsidP="00C53BE6">
            <w:pPr>
              <w:autoSpaceDE w:val="0"/>
              <w:autoSpaceDN w:val="0"/>
              <w:adjustRightInd w:val="0"/>
              <w:spacing w:after="0"/>
              <w:jc w:val="both"/>
              <w:rPr>
                <w:rFonts w:ascii="Arial" w:eastAsia="Calibri" w:hAnsi="Arial" w:cs="Arial"/>
                <w:color w:val="000000"/>
                <w:sz w:val="16"/>
                <w:szCs w:val="16"/>
                <w:lang w:val="en-GB" w:eastAsia="en-US"/>
              </w:rPr>
            </w:pPr>
          </w:p>
          <w:p w:rsidR="002A7A90" w:rsidRPr="00C53BE6" w:rsidRDefault="002A7A90" w:rsidP="00C53BE6">
            <w:pPr>
              <w:pStyle w:val="ListParagraph"/>
              <w:numPr>
                <w:ilvl w:val="0"/>
                <w:numId w:val="38"/>
              </w:numPr>
              <w:autoSpaceDE w:val="0"/>
              <w:autoSpaceDN w:val="0"/>
              <w:adjustRightInd w:val="0"/>
              <w:jc w:val="both"/>
              <w:rPr>
                <w:rFonts w:ascii="Arial" w:eastAsia="Calibri" w:hAnsi="Arial" w:cs="Arial"/>
                <w:color w:val="000000"/>
                <w:sz w:val="22"/>
                <w:szCs w:val="22"/>
                <w:lang w:eastAsia="en-US"/>
              </w:rPr>
            </w:pPr>
            <w:r w:rsidRPr="00C53BE6">
              <w:rPr>
                <w:rFonts w:ascii="Arial" w:eastAsia="Calibri" w:hAnsi="Arial" w:cs="Arial"/>
                <w:color w:val="000000"/>
                <w:sz w:val="22"/>
                <w:szCs w:val="22"/>
                <w:lang w:eastAsia="en-US"/>
              </w:rPr>
              <w:t>To improve</w:t>
            </w:r>
            <w:r w:rsidR="00DE5C98" w:rsidRPr="00C53BE6">
              <w:rPr>
                <w:rFonts w:ascii="Arial" w:eastAsia="Calibri" w:hAnsi="Arial" w:cs="Arial"/>
                <w:color w:val="000000"/>
                <w:sz w:val="22"/>
                <w:szCs w:val="22"/>
                <w:lang w:eastAsia="en-US"/>
              </w:rPr>
              <w:t xml:space="preserve"> commissioning of effective, safe and sustainable services, which deliver the best possible outcomes, based upon best available evidence. </w:t>
            </w:r>
            <w:r w:rsidRPr="00C53BE6">
              <w:rPr>
                <w:rFonts w:ascii="Arial" w:eastAsia="Calibri" w:hAnsi="Arial" w:cs="Arial"/>
                <w:color w:val="000000"/>
                <w:sz w:val="22"/>
                <w:szCs w:val="22"/>
                <w:lang w:eastAsia="en-US"/>
              </w:rPr>
              <w:t xml:space="preserve"> </w:t>
            </w:r>
          </w:p>
          <w:p w:rsidR="00EC51E7" w:rsidRPr="00C53BE6" w:rsidRDefault="002A7A90" w:rsidP="00C53BE6">
            <w:pPr>
              <w:pStyle w:val="ListParagraph"/>
              <w:numPr>
                <w:ilvl w:val="0"/>
                <w:numId w:val="38"/>
              </w:numPr>
              <w:autoSpaceDE w:val="0"/>
              <w:autoSpaceDN w:val="0"/>
              <w:adjustRightInd w:val="0"/>
              <w:jc w:val="both"/>
              <w:rPr>
                <w:rFonts w:ascii="Arial" w:eastAsia="Calibri" w:hAnsi="Arial" w:cs="Arial"/>
                <w:color w:val="000000"/>
                <w:sz w:val="22"/>
                <w:szCs w:val="22"/>
                <w:lang w:eastAsia="en-US"/>
              </w:rPr>
            </w:pPr>
            <w:r w:rsidRPr="00C53BE6">
              <w:rPr>
                <w:rFonts w:ascii="Arial" w:eastAsia="Calibri" w:hAnsi="Arial" w:cs="Arial"/>
                <w:color w:val="000000"/>
                <w:sz w:val="22"/>
                <w:szCs w:val="22"/>
                <w:lang w:eastAsia="en-US"/>
              </w:rPr>
              <w:t xml:space="preserve">To </w:t>
            </w:r>
            <w:r w:rsidR="00DE5C98" w:rsidRPr="00C53BE6">
              <w:rPr>
                <w:rFonts w:ascii="Arial" w:eastAsia="Calibri" w:hAnsi="Arial" w:cs="Arial"/>
                <w:color w:val="000000"/>
                <w:sz w:val="22"/>
                <w:szCs w:val="22"/>
                <w:lang w:eastAsia="en-US"/>
              </w:rPr>
              <w:t xml:space="preserve">increase life </w:t>
            </w:r>
            <w:r w:rsidR="00EC51E7" w:rsidRPr="00C53BE6">
              <w:rPr>
                <w:rFonts w:ascii="Arial" w:eastAsia="Calibri" w:hAnsi="Arial" w:cs="Arial"/>
                <w:color w:val="000000"/>
                <w:sz w:val="22"/>
                <w:szCs w:val="22"/>
                <w:lang w:eastAsia="en-US"/>
              </w:rPr>
              <w:t xml:space="preserve">expectancy and reduce health inequalities </w:t>
            </w:r>
          </w:p>
          <w:p w:rsidR="00EC51E7" w:rsidRPr="00C53BE6" w:rsidRDefault="00EC51E7" w:rsidP="00C53BE6">
            <w:pPr>
              <w:pStyle w:val="ListParagraph"/>
              <w:numPr>
                <w:ilvl w:val="0"/>
                <w:numId w:val="38"/>
              </w:numPr>
              <w:autoSpaceDE w:val="0"/>
              <w:autoSpaceDN w:val="0"/>
              <w:adjustRightInd w:val="0"/>
              <w:jc w:val="both"/>
              <w:rPr>
                <w:rFonts w:ascii="Arial" w:eastAsia="Calibri" w:hAnsi="Arial" w:cs="Arial"/>
                <w:color w:val="000000"/>
                <w:sz w:val="22"/>
                <w:szCs w:val="22"/>
                <w:lang w:eastAsia="en-US"/>
              </w:rPr>
            </w:pPr>
            <w:r w:rsidRPr="00C53BE6">
              <w:rPr>
                <w:rFonts w:ascii="Arial" w:eastAsia="Calibri" w:hAnsi="Arial" w:cs="Arial"/>
                <w:color w:val="000000"/>
                <w:sz w:val="22"/>
                <w:szCs w:val="22"/>
                <w:lang w:eastAsia="en-US"/>
              </w:rPr>
              <w:t>To encourage healthier lifestyles</w:t>
            </w:r>
          </w:p>
          <w:p w:rsidR="00EC51E7" w:rsidRPr="00C53BE6" w:rsidRDefault="00EC51E7" w:rsidP="00C53BE6">
            <w:pPr>
              <w:pStyle w:val="ListParagraph"/>
              <w:numPr>
                <w:ilvl w:val="0"/>
                <w:numId w:val="38"/>
              </w:numPr>
              <w:autoSpaceDE w:val="0"/>
              <w:autoSpaceDN w:val="0"/>
              <w:adjustRightInd w:val="0"/>
              <w:jc w:val="both"/>
              <w:rPr>
                <w:rFonts w:ascii="Arial" w:eastAsia="Calibri" w:hAnsi="Arial" w:cs="Arial"/>
                <w:color w:val="000000"/>
                <w:sz w:val="22"/>
                <w:szCs w:val="22"/>
                <w:lang w:eastAsia="en-US"/>
              </w:rPr>
            </w:pPr>
            <w:r w:rsidRPr="00C53BE6">
              <w:rPr>
                <w:rFonts w:ascii="Arial" w:eastAsia="Calibri" w:hAnsi="Arial" w:cs="Arial"/>
                <w:color w:val="000000"/>
                <w:sz w:val="22"/>
                <w:szCs w:val="22"/>
                <w:lang w:eastAsia="en-US"/>
              </w:rPr>
              <w:t>To support vulnerable people</w:t>
            </w:r>
          </w:p>
          <w:p w:rsidR="002A7A90" w:rsidRPr="00C53BE6" w:rsidRDefault="005E11CB" w:rsidP="00C53BE6">
            <w:pPr>
              <w:pStyle w:val="ListParagraph"/>
              <w:numPr>
                <w:ilvl w:val="0"/>
                <w:numId w:val="38"/>
              </w:numPr>
              <w:autoSpaceDE w:val="0"/>
              <w:autoSpaceDN w:val="0"/>
              <w:adjustRightInd w:val="0"/>
              <w:jc w:val="both"/>
              <w:rPr>
                <w:rFonts w:ascii="Arial" w:eastAsia="Calibri" w:hAnsi="Arial" w:cs="Arial"/>
                <w:color w:val="000000"/>
                <w:sz w:val="22"/>
                <w:szCs w:val="22"/>
                <w:lang w:eastAsia="en-US"/>
              </w:rPr>
            </w:pPr>
            <w:r w:rsidRPr="00C53BE6">
              <w:rPr>
                <w:rFonts w:ascii="Arial" w:eastAsia="Calibri" w:hAnsi="Arial" w:cs="Arial"/>
                <w:color w:val="000000"/>
                <w:sz w:val="22"/>
                <w:szCs w:val="22"/>
                <w:lang w:eastAsia="en-US"/>
              </w:rPr>
              <w:t xml:space="preserve">In meeting </w:t>
            </w:r>
            <w:r w:rsidR="00863489" w:rsidRPr="00C53BE6">
              <w:rPr>
                <w:rFonts w:ascii="Arial" w:eastAsia="Calibri" w:hAnsi="Arial" w:cs="Arial"/>
                <w:color w:val="000000"/>
                <w:sz w:val="22"/>
                <w:szCs w:val="22"/>
                <w:lang w:eastAsia="en-US"/>
              </w:rPr>
              <w:t xml:space="preserve">the objectives above, to exercise CCG functions effectively, efficiently and economically and in accordance with generally accepted </w:t>
            </w:r>
            <w:r w:rsidR="00884B23" w:rsidRPr="00C53BE6">
              <w:rPr>
                <w:rFonts w:ascii="Arial" w:eastAsia="Calibri" w:hAnsi="Arial" w:cs="Arial"/>
                <w:color w:val="000000"/>
                <w:sz w:val="22"/>
                <w:szCs w:val="22"/>
                <w:lang w:eastAsia="en-US"/>
              </w:rPr>
              <w:t>principles</w:t>
            </w:r>
            <w:r w:rsidR="00863489" w:rsidRPr="00C53BE6">
              <w:rPr>
                <w:rFonts w:ascii="Arial" w:eastAsia="Calibri" w:hAnsi="Arial" w:cs="Arial"/>
                <w:color w:val="000000"/>
                <w:sz w:val="22"/>
                <w:szCs w:val="22"/>
                <w:lang w:eastAsia="en-US"/>
              </w:rPr>
              <w:t xml:space="preserve"> of good governance and as an employer of choice.</w:t>
            </w:r>
            <w:r w:rsidR="002A7A90" w:rsidRPr="00C53BE6">
              <w:rPr>
                <w:rFonts w:ascii="Arial" w:eastAsia="Calibri" w:hAnsi="Arial" w:cs="Arial"/>
                <w:color w:val="000000"/>
                <w:sz w:val="22"/>
                <w:szCs w:val="22"/>
                <w:lang w:eastAsia="en-US"/>
              </w:rPr>
              <w:t xml:space="preserve"> </w:t>
            </w:r>
          </w:p>
          <w:p w:rsidR="00DE5C98" w:rsidRPr="00624695" w:rsidRDefault="00DE5C98" w:rsidP="00DE5C98">
            <w:pPr>
              <w:autoSpaceDE w:val="0"/>
              <w:autoSpaceDN w:val="0"/>
              <w:adjustRightInd w:val="0"/>
              <w:spacing w:after="0"/>
              <w:rPr>
                <w:rFonts w:ascii="Arial" w:hAnsi="Arial" w:cs="Arial"/>
                <w:color w:val="009966"/>
                <w:sz w:val="16"/>
                <w:szCs w:val="16"/>
              </w:rPr>
            </w:pPr>
          </w:p>
        </w:tc>
        <w:bookmarkStart w:id="2" w:name="_GoBack"/>
        <w:bookmarkEnd w:id="2"/>
      </w:tr>
      <w:tr w:rsidR="00926DA3" w:rsidRPr="00C115A9" w:rsidTr="00707866">
        <w:trPr>
          <w:trHeight w:val="118"/>
        </w:trPr>
        <w:tc>
          <w:tcPr>
            <w:tcW w:w="9159" w:type="dxa"/>
            <w:shd w:val="clear" w:color="auto" w:fill="595959"/>
          </w:tcPr>
          <w:p w:rsidR="00926DA3" w:rsidRPr="00C115A9" w:rsidRDefault="00926DA3" w:rsidP="003A3A05">
            <w:pPr>
              <w:spacing w:after="0" w:line="276" w:lineRule="auto"/>
              <w:rPr>
                <w:rFonts w:ascii="Arial" w:hAnsi="Arial" w:cs="Arial"/>
                <w:b/>
                <w:color w:val="F79646"/>
                <w:sz w:val="20"/>
              </w:rPr>
            </w:pPr>
            <w:r w:rsidRPr="00C115A9">
              <w:rPr>
                <w:rFonts w:ascii="Arial" w:hAnsi="Arial" w:cs="Arial"/>
                <w:b/>
                <w:color w:val="F79646"/>
                <w:sz w:val="20"/>
              </w:rPr>
              <w:t>2.</w:t>
            </w:r>
            <w:r w:rsidRPr="00C115A9">
              <w:rPr>
                <w:rFonts w:ascii="Arial" w:hAnsi="Arial" w:cs="Arial"/>
                <w:b/>
                <w:color w:val="F79646"/>
                <w:sz w:val="20"/>
              </w:rPr>
              <w:tab/>
            </w:r>
            <w:r w:rsidRPr="007A5435">
              <w:rPr>
                <w:rFonts w:ascii="Arial" w:hAnsi="Arial" w:cs="Arial"/>
                <w:b/>
                <w:color w:val="F79646"/>
                <w:sz w:val="22"/>
                <w:szCs w:val="22"/>
              </w:rPr>
              <w:t>Outcomes</w:t>
            </w:r>
          </w:p>
        </w:tc>
      </w:tr>
      <w:tr w:rsidR="00926DA3" w:rsidRPr="00C115A9" w:rsidTr="00707866">
        <w:trPr>
          <w:trHeight w:val="1193"/>
        </w:trPr>
        <w:tc>
          <w:tcPr>
            <w:tcW w:w="9159" w:type="dxa"/>
            <w:shd w:val="clear" w:color="auto" w:fill="FFFFFF" w:themeFill="background1"/>
          </w:tcPr>
          <w:p w:rsidR="00926DA3" w:rsidRPr="00707866" w:rsidRDefault="00926DA3" w:rsidP="003A3A05">
            <w:pPr>
              <w:spacing w:after="0" w:line="276" w:lineRule="auto"/>
              <w:rPr>
                <w:rFonts w:ascii="Arial" w:hAnsi="Arial" w:cs="Arial"/>
                <w:b/>
                <w:sz w:val="22"/>
                <w:szCs w:val="22"/>
              </w:rPr>
            </w:pPr>
            <w:r w:rsidRPr="00C53BE6">
              <w:rPr>
                <w:rFonts w:ascii="Arial" w:hAnsi="Arial" w:cs="Arial"/>
                <w:b/>
                <w:sz w:val="20"/>
              </w:rPr>
              <w:t>2.1</w:t>
            </w:r>
            <w:r w:rsidRPr="00C53BE6">
              <w:rPr>
                <w:rFonts w:ascii="Arial" w:hAnsi="Arial" w:cs="Arial"/>
                <w:b/>
                <w:sz w:val="20"/>
              </w:rPr>
              <w:tab/>
            </w:r>
            <w:r w:rsidRPr="00707866">
              <w:rPr>
                <w:rFonts w:ascii="Arial" w:hAnsi="Arial" w:cs="Arial"/>
                <w:b/>
                <w:sz w:val="22"/>
                <w:szCs w:val="22"/>
                <w:u w:val="single"/>
              </w:rPr>
              <w:t>NHS Outcomes Framework Domains &amp; Indicators</w:t>
            </w:r>
          </w:p>
          <w:p w:rsidR="00926DA3" w:rsidRPr="00707866" w:rsidRDefault="00926DA3" w:rsidP="003A3A05">
            <w:pPr>
              <w:spacing w:after="0" w:line="276" w:lineRule="auto"/>
              <w:rPr>
                <w:rFonts w:ascii="Arial" w:hAnsi="Arial" w:cs="Arial"/>
                <w:b/>
                <w:sz w:val="22"/>
                <w:szCs w:val="22"/>
              </w:rPr>
            </w:pPr>
          </w:p>
          <w:tbl>
            <w:tblPr>
              <w:tblStyle w:val="TableGrid"/>
              <w:tblW w:w="0" w:type="auto"/>
              <w:tblInd w:w="813" w:type="dxa"/>
              <w:tblLook w:val="04A0" w:firstRow="1" w:lastRow="0" w:firstColumn="1" w:lastColumn="0" w:noHBand="0" w:noVBand="1"/>
            </w:tblPr>
            <w:tblGrid>
              <w:gridCol w:w="1389"/>
              <w:gridCol w:w="6018"/>
              <w:gridCol w:w="698"/>
            </w:tblGrid>
            <w:tr w:rsidR="00C53BE6" w:rsidRPr="00707866" w:rsidTr="00707866">
              <w:trPr>
                <w:trHeight w:val="134"/>
              </w:trPr>
              <w:tc>
                <w:tcPr>
                  <w:tcW w:w="1389"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Domain 1</w:t>
                  </w:r>
                </w:p>
              </w:tc>
              <w:tc>
                <w:tcPr>
                  <w:tcW w:w="6018"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Preventing people from dying prematurely</w:t>
                  </w:r>
                </w:p>
              </w:tc>
              <w:tc>
                <w:tcPr>
                  <w:tcW w:w="698" w:type="dxa"/>
                  <w:shd w:val="clear" w:color="auto" w:fill="auto"/>
                </w:tcPr>
                <w:p w:rsidR="00926DA3" w:rsidRPr="00707866" w:rsidRDefault="00624695" w:rsidP="003A3A05">
                  <w:pPr>
                    <w:spacing w:line="276" w:lineRule="auto"/>
                    <w:rPr>
                      <w:rFonts w:ascii="Arial" w:hAnsi="Arial" w:cs="Arial"/>
                      <w:b/>
                      <w:sz w:val="22"/>
                      <w:szCs w:val="22"/>
                    </w:rPr>
                  </w:pPr>
                  <w:r w:rsidRPr="00707866">
                    <w:rPr>
                      <w:rFonts w:ascii="Arial" w:hAnsi="Arial" w:cs="Arial"/>
                      <w:b/>
                      <w:noProof/>
                      <w:sz w:val="22"/>
                      <w:szCs w:val="22"/>
                      <w:lang w:val="en-GB" w:eastAsia="en-GB"/>
                    </w:rPr>
                    <w:drawing>
                      <wp:inline distT="0" distB="0" distL="0" distR="0" wp14:anchorId="036208A7" wp14:editId="62F29BD9">
                        <wp:extent cx="208429" cy="142875"/>
                        <wp:effectExtent l="0" t="0" r="1270" b="0"/>
                        <wp:docPr id="1" name="Picture 1" descr="C:\Users\lisa_wain\AppData\Local\Microsoft\Windows\Temporary Internet Files\Content.IE5\T54FB9GR\MC9004325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wain\AppData\Local\Microsoft\Windows\Temporary Internet Files\Content.IE5\T54FB9GR\MC90043253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894" cy="143879"/>
                                </a:xfrm>
                                <a:prstGeom prst="rect">
                                  <a:avLst/>
                                </a:prstGeom>
                                <a:noFill/>
                                <a:ln>
                                  <a:noFill/>
                                </a:ln>
                              </pic:spPr>
                            </pic:pic>
                          </a:graphicData>
                        </a:graphic>
                      </wp:inline>
                    </w:drawing>
                  </w:r>
                </w:p>
              </w:tc>
            </w:tr>
            <w:tr w:rsidR="00C53BE6" w:rsidRPr="00707866" w:rsidTr="00707866">
              <w:trPr>
                <w:trHeight w:val="257"/>
              </w:trPr>
              <w:tc>
                <w:tcPr>
                  <w:tcW w:w="1389"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Domain 2</w:t>
                  </w:r>
                </w:p>
              </w:tc>
              <w:tc>
                <w:tcPr>
                  <w:tcW w:w="6018"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Enhancing quality of life for people with long-term conditions</w:t>
                  </w:r>
                </w:p>
              </w:tc>
              <w:tc>
                <w:tcPr>
                  <w:tcW w:w="698" w:type="dxa"/>
                  <w:shd w:val="clear" w:color="auto" w:fill="auto"/>
                </w:tcPr>
                <w:p w:rsidR="00926DA3" w:rsidRPr="00707866" w:rsidRDefault="00031198" w:rsidP="003A3A05">
                  <w:pPr>
                    <w:spacing w:line="276" w:lineRule="auto"/>
                    <w:rPr>
                      <w:rFonts w:ascii="Arial" w:hAnsi="Arial" w:cs="Arial"/>
                      <w:b/>
                      <w:sz w:val="22"/>
                      <w:szCs w:val="22"/>
                    </w:rPr>
                  </w:pPr>
                  <w:r w:rsidRPr="00707866">
                    <w:rPr>
                      <w:rFonts w:ascii="Arial" w:hAnsi="Arial" w:cs="Arial"/>
                      <w:b/>
                      <w:noProof/>
                      <w:sz w:val="22"/>
                      <w:szCs w:val="22"/>
                      <w:lang w:val="en-GB" w:eastAsia="en-GB"/>
                    </w:rPr>
                    <w:drawing>
                      <wp:inline distT="0" distB="0" distL="0" distR="0" wp14:anchorId="1051C1FB" wp14:editId="2B8B6E1C">
                        <wp:extent cx="208429" cy="142875"/>
                        <wp:effectExtent l="0" t="0" r="1270" b="0"/>
                        <wp:docPr id="2" name="Picture 2" descr="C:\Users\lisa_wain\AppData\Local\Microsoft\Windows\Temporary Internet Files\Content.IE5\T54FB9GR\MC9004325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wain\AppData\Local\Microsoft\Windows\Temporary Internet Files\Content.IE5\T54FB9GR\MC90043253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894" cy="143879"/>
                                </a:xfrm>
                                <a:prstGeom prst="rect">
                                  <a:avLst/>
                                </a:prstGeom>
                                <a:noFill/>
                                <a:ln>
                                  <a:noFill/>
                                </a:ln>
                              </pic:spPr>
                            </pic:pic>
                          </a:graphicData>
                        </a:graphic>
                      </wp:inline>
                    </w:drawing>
                  </w:r>
                </w:p>
              </w:tc>
            </w:tr>
            <w:tr w:rsidR="00C53BE6" w:rsidRPr="00707866" w:rsidTr="00707866">
              <w:trPr>
                <w:trHeight w:val="257"/>
              </w:trPr>
              <w:tc>
                <w:tcPr>
                  <w:tcW w:w="1389"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Domain 3</w:t>
                  </w:r>
                </w:p>
              </w:tc>
              <w:tc>
                <w:tcPr>
                  <w:tcW w:w="6018"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Helping people to recover from episodes of ill-health or following injury</w:t>
                  </w:r>
                </w:p>
              </w:tc>
              <w:tc>
                <w:tcPr>
                  <w:tcW w:w="698" w:type="dxa"/>
                  <w:shd w:val="clear" w:color="auto" w:fill="auto"/>
                </w:tcPr>
                <w:p w:rsidR="00926DA3" w:rsidRPr="00707866" w:rsidRDefault="00EE08C0" w:rsidP="003A3A05">
                  <w:pPr>
                    <w:spacing w:line="276" w:lineRule="auto"/>
                    <w:rPr>
                      <w:rFonts w:ascii="Arial" w:hAnsi="Arial" w:cs="Arial"/>
                      <w:b/>
                      <w:sz w:val="22"/>
                      <w:szCs w:val="22"/>
                    </w:rPr>
                  </w:pPr>
                  <w:r w:rsidRPr="00707866">
                    <w:rPr>
                      <w:rFonts w:ascii="Arial" w:hAnsi="Arial" w:cs="Arial"/>
                      <w:b/>
                      <w:noProof/>
                      <w:sz w:val="22"/>
                      <w:szCs w:val="22"/>
                      <w:lang w:val="en-GB" w:eastAsia="en-GB"/>
                    </w:rPr>
                    <w:drawing>
                      <wp:inline distT="0" distB="0" distL="0" distR="0" wp14:anchorId="1F0BFD4B" wp14:editId="2A00E6E9">
                        <wp:extent cx="208429" cy="142875"/>
                        <wp:effectExtent l="0" t="0" r="1270" b="0"/>
                        <wp:docPr id="11" name="Picture 11" descr="C:\Users\lisa_wain\AppData\Local\Microsoft\Windows\Temporary Internet Files\Content.IE5\T54FB9GR\MC9004325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wain\AppData\Local\Microsoft\Windows\Temporary Internet Files\Content.IE5\T54FB9GR\MC90043253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894" cy="143879"/>
                                </a:xfrm>
                                <a:prstGeom prst="rect">
                                  <a:avLst/>
                                </a:prstGeom>
                                <a:noFill/>
                                <a:ln>
                                  <a:noFill/>
                                </a:ln>
                              </pic:spPr>
                            </pic:pic>
                          </a:graphicData>
                        </a:graphic>
                      </wp:inline>
                    </w:drawing>
                  </w:r>
                </w:p>
              </w:tc>
            </w:tr>
            <w:tr w:rsidR="00C53BE6" w:rsidRPr="00707866" w:rsidTr="00707866">
              <w:trPr>
                <w:trHeight w:val="262"/>
              </w:trPr>
              <w:tc>
                <w:tcPr>
                  <w:tcW w:w="1389"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Domain 4</w:t>
                  </w:r>
                </w:p>
              </w:tc>
              <w:tc>
                <w:tcPr>
                  <w:tcW w:w="6018"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Ensuring people have a positive experience of care</w:t>
                  </w:r>
                </w:p>
              </w:tc>
              <w:tc>
                <w:tcPr>
                  <w:tcW w:w="698" w:type="dxa"/>
                  <w:shd w:val="clear" w:color="auto" w:fill="auto"/>
                </w:tcPr>
                <w:p w:rsidR="00926DA3" w:rsidRPr="00707866" w:rsidRDefault="00031198" w:rsidP="003A3A05">
                  <w:pPr>
                    <w:spacing w:line="276" w:lineRule="auto"/>
                    <w:rPr>
                      <w:rFonts w:ascii="Arial" w:hAnsi="Arial" w:cs="Arial"/>
                      <w:b/>
                      <w:sz w:val="22"/>
                      <w:szCs w:val="22"/>
                    </w:rPr>
                  </w:pPr>
                  <w:r w:rsidRPr="00707866">
                    <w:rPr>
                      <w:rFonts w:ascii="Arial" w:hAnsi="Arial" w:cs="Arial"/>
                      <w:b/>
                      <w:noProof/>
                      <w:sz w:val="22"/>
                      <w:szCs w:val="22"/>
                      <w:lang w:val="en-GB" w:eastAsia="en-GB"/>
                    </w:rPr>
                    <w:drawing>
                      <wp:inline distT="0" distB="0" distL="0" distR="0" wp14:anchorId="7FA7491D" wp14:editId="4FACE0E2">
                        <wp:extent cx="208429" cy="142875"/>
                        <wp:effectExtent l="0" t="0" r="1270" b="0"/>
                        <wp:docPr id="3" name="Picture 3" descr="C:\Users\lisa_wain\AppData\Local\Microsoft\Windows\Temporary Internet Files\Content.IE5\T54FB9GR\MC9004325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wain\AppData\Local\Microsoft\Windows\Temporary Internet Files\Content.IE5\T54FB9GR\MC90043253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894" cy="143879"/>
                                </a:xfrm>
                                <a:prstGeom prst="rect">
                                  <a:avLst/>
                                </a:prstGeom>
                                <a:noFill/>
                                <a:ln>
                                  <a:noFill/>
                                </a:ln>
                              </pic:spPr>
                            </pic:pic>
                          </a:graphicData>
                        </a:graphic>
                      </wp:inline>
                    </w:drawing>
                  </w:r>
                </w:p>
              </w:tc>
            </w:tr>
            <w:tr w:rsidR="00C53BE6" w:rsidRPr="00707866" w:rsidTr="00707866">
              <w:trPr>
                <w:trHeight w:val="128"/>
              </w:trPr>
              <w:tc>
                <w:tcPr>
                  <w:tcW w:w="1389"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Domain 5</w:t>
                  </w:r>
                </w:p>
              </w:tc>
              <w:tc>
                <w:tcPr>
                  <w:tcW w:w="6018" w:type="dxa"/>
                  <w:shd w:val="clear" w:color="auto" w:fill="auto"/>
                </w:tcPr>
                <w:p w:rsidR="00926DA3" w:rsidRPr="00707866" w:rsidRDefault="00926DA3" w:rsidP="003A3A05">
                  <w:pPr>
                    <w:spacing w:line="276" w:lineRule="auto"/>
                    <w:rPr>
                      <w:rFonts w:ascii="Arial" w:hAnsi="Arial" w:cs="Arial"/>
                      <w:b/>
                      <w:sz w:val="22"/>
                      <w:szCs w:val="22"/>
                    </w:rPr>
                  </w:pPr>
                  <w:r w:rsidRPr="00707866">
                    <w:rPr>
                      <w:rFonts w:ascii="Arial" w:hAnsi="Arial" w:cs="Arial"/>
                      <w:b/>
                      <w:sz w:val="22"/>
                      <w:szCs w:val="22"/>
                    </w:rPr>
                    <w:t>Treating and caring for people in safe environment and protecting them from avoidable harm</w:t>
                  </w:r>
                </w:p>
              </w:tc>
              <w:tc>
                <w:tcPr>
                  <w:tcW w:w="698" w:type="dxa"/>
                  <w:shd w:val="clear" w:color="auto" w:fill="auto"/>
                </w:tcPr>
                <w:p w:rsidR="00926DA3" w:rsidRPr="00707866" w:rsidRDefault="00031198" w:rsidP="003A3A05">
                  <w:pPr>
                    <w:spacing w:line="276" w:lineRule="auto"/>
                    <w:rPr>
                      <w:rFonts w:ascii="Arial" w:hAnsi="Arial" w:cs="Arial"/>
                      <w:b/>
                      <w:sz w:val="22"/>
                      <w:szCs w:val="22"/>
                    </w:rPr>
                  </w:pPr>
                  <w:r w:rsidRPr="00707866">
                    <w:rPr>
                      <w:rFonts w:ascii="Arial" w:hAnsi="Arial" w:cs="Arial"/>
                      <w:b/>
                      <w:noProof/>
                      <w:sz w:val="22"/>
                      <w:szCs w:val="22"/>
                      <w:lang w:val="en-GB" w:eastAsia="en-GB"/>
                    </w:rPr>
                    <w:drawing>
                      <wp:inline distT="0" distB="0" distL="0" distR="0" wp14:anchorId="363C27FA" wp14:editId="3CD66E8C">
                        <wp:extent cx="208429" cy="142875"/>
                        <wp:effectExtent l="0" t="0" r="1270" b="0"/>
                        <wp:docPr id="4" name="Picture 4" descr="C:\Users\lisa_wain\AppData\Local\Microsoft\Windows\Temporary Internet Files\Content.IE5\T54FB9GR\MC9004325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isa_wain\AppData\Local\Microsoft\Windows\Temporary Internet Files\Content.IE5\T54FB9GR\MC900432530[1].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09894" cy="143879"/>
                                </a:xfrm>
                                <a:prstGeom prst="rect">
                                  <a:avLst/>
                                </a:prstGeom>
                                <a:noFill/>
                                <a:ln>
                                  <a:noFill/>
                                </a:ln>
                              </pic:spPr>
                            </pic:pic>
                          </a:graphicData>
                        </a:graphic>
                      </wp:inline>
                    </w:drawing>
                  </w:r>
                </w:p>
              </w:tc>
            </w:tr>
          </w:tbl>
          <w:p w:rsidR="00926DA3" w:rsidRPr="00707866" w:rsidRDefault="00926DA3" w:rsidP="003A3A05">
            <w:pPr>
              <w:spacing w:after="0" w:line="276" w:lineRule="auto"/>
              <w:rPr>
                <w:rFonts w:ascii="Arial" w:hAnsi="Arial" w:cs="Arial"/>
                <w:b/>
                <w:sz w:val="22"/>
                <w:szCs w:val="22"/>
              </w:rPr>
            </w:pPr>
            <w:r w:rsidRPr="00707866">
              <w:rPr>
                <w:rFonts w:ascii="Arial" w:hAnsi="Arial" w:cs="Arial"/>
                <w:b/>
                <w:sz w:val="22"/>
                <w:szCs w:val="22"/>
              </w:rPr>
              <w:lastRenderedPageBreak/>
              <w:t>2.2</w:t>
            </w:r>
            <w:r w:rsidRPr="00707866">
              <w:rPr>
                <w:rFonts w:ascii="Arial" w:hAnsi="Arial" w:cs="Arial"/>
                <w:b/>
                <w:sz w:val="22"/>
                <w:szCs w:val="22"/>
              </w:rPr>
              <w:tab/>
              <w:t>Local defined outcomes</w:t>
            </w:r>
          </w:p>
          <w:p w:rsidR="00926DA3" w:rsidRPr="00707866" w:rsidRDefault="005A3308" w:rsidP="00624695">
            <w:pPr>
              <w:spacing w:line="300" w:lineRule="exact"/>
              <w:rPr>
                <w:rFonts w:ascii="Arial" w:hAnsi="Arial" w:cs="Arial"/>
                <w:b/>
                <w:color w:val="F79646"/>
                <w:sz w:val="22"/>
                <w:szCs w:val="22"/>
              </w:rPr>
            </w:pPr>
            <w:r w:rsidRPr="00707866">
              <w:rPr>
                <w:rFonts w:ascii="Arial" w:hAnsi="Arial" w:cs="Arial"/>
                <w:sz w:val="22"/>
                <w:szCs w:val="22"/>
              </w:rPr>
              <w:t>The Provider shall offer a patient-focused and easily accessible service.</w:t>
            </w:r>
          </w:p>
        </w:tc>
      </w:tr>
      <w:tr w:rsidR="00926DA3" w:rsidRPr="00C115A9" w:rsidTr="00707866">
        <w:trPr>
          <w:trHeight w:val="64"/>
        </w:trPr>
        <w:tc>
          <w:tcPr>
            <w:tcW w:w="9159" w:type="dxa"/>
            <w:shd w:val="clear" w:color="auto" w:fill="595959"/>
          </w:tcPr>
          <w:p w:rsidR="00926DA3" w:rsidRPr="00C115A9" w:rsidRDefault="00926DA3" w:rsidP="003A3A05">
            <w:pPr>
              <w:spacing w:after="0" w:line="276" w:lineRule="auto"/>
              <w:rPr>
                <w:rFonts w:ascii="Arial" w:hAnsi="Arial" w:cs="Arial"/>
                <w:b/>
                <w:color w:val="F79646"/>
                <w:sz w:val="20"/>
              </w:rPr>
            </w:pPr>
            <w:r w:rsidRPr="00C115A9">
              <w:rPr>
                <w:rFonts w:ascii="Arial" w:hAnsi="Arial" w:cs="Arial"/>
                <w:b/>
                <w:color w:val="F79646"/>
                <w:sz w:val="20"/>
              </w:rPr>
              <w:lastRenderedPageBreak/>
              <w:t>3.</w:t>
            </w:r>
            <w:r w:rsidRPr="00C115A9">
              <w:rPr>
                <w:rFonts w:ascii="Arial" w:hAnsi="Arial" w:cs="Arial"/>
                <w:b/>
                <w:color w:val="F79646"/>
                <w:sz w:val="20"/>
              </w:rPr>
              <w:tab/>
            </w:r>
            <w:r w:rsidRPr="007A5435">
              <w:rPr>
                <w:rFonts w:ascii="Arial" w:hAnsi="Arial" w:cs="Arial"/>
                <w:b/>
                <w:color w:val="F79646"/>
                <w:sz w:val="22"/>
                <w:szCs w:val="22"/>
              </w:rPr>
              <w:t>Scope</w:t>
            </w:r>
          </w:p>
        </w:tc>
      </w:tr>
      <w:tr w:rsidR="00926DA3" w:rsidRPr="00C115A9" w:rsidTr="00707866">
        <w:trPr>
          <w:trHeight w:val="5664"/>
        </w:trPr>
        <w:tc>
          <w:tcPr>
            <w:tcW w:w="9159" w:type="dxa"/>
            <w:shd w:val="clear" w:color="auto" w:fill="auto"/>
          </w:tcPr>
          <w:p w:rsidR="00926DA3" w:rsidRPr="00C115A9" w:rsidRDefault="00926DA3" w:rsidP="003A3A05">
            <w:pPr>
              <w:spacing w:after="0"/>
              <w:rPr>
                <w:rFonts w:ascii="Arial" w:hAnsi="Arial" w:cs="Arial"/>
                <w:sz w:val="20"/>
              </w:rPr>
            </w:pPr>
          </w:p>
          <w:p w:rsidR="00926DA3" w:rsidRPr="00C53BE6" w:rsidRDefault="00926DA3" w:rsidP="003A3A05">
            <w:pPr>
              <w:spacing w:after="0"/>
              <w:rPr>
                <w:rFonts w:ascii="Arial" w:hAnsi="Arial" w:cs="Arial"/>
                <w:b/>
                <w:sz w:val="20"/>
              </w:rPr>
            </w:pPr>
            <w:r w:rsidRPr="00C53BE6">
              <w:rPr>
                <w:rFonts w:ascii="Arial" w:hAnsi="Arial" w:cs="Arial"/>
                <w:b/>
                <w:sz w:val="20"/>
              </w:rPr>
              <w:t>3.1</w:t>
            </w:r>
            <w:r w:rsidRPr="00C53BE6">
              <w:rPr>
                <w:rFonts w:ascii="Arial" w:hAnsi="Arial" w:cs="Arial"/>
                <w:b/>
                <w:sz w:val="20"/>
              </w:rPr>
              <w:tab/>
            </w:r>
            <w:r w:rsidRPr="002B0C92">
              <w:rPr>
                <w:rFonts w:ascii="Arial" w:hAnsi="Arial" w:cs="Arial"/>
                <w:b/>
                <w:sz w:val="22"/>
                <w:szCs w:val="22"/>
              </w:rPr>
              <w:t>Aims and objectives of service</w:t>
            </w:r>
          </w:p>
          <w:p w:rsidR="00A656C7" w:rsidRPr="00C53BE6" w:rsidRDefault="00A656C7" w:rsidP="003A3A05">
            <w:pPr>
              <w:spacing w:after="0"/>
              <w:rPr>
                <w:rFonts w:ascii="Arial" w:hAnsi="Arial" w:cs="Arial"/>
                <w:b/>
                <w:sz w:val="20"/>
              </w:rPr>
            </w:pPr>
          </w:p>
          <w:p w:rsidR="00930FC0" w:rsidRPr="00707866" w:rsidRDefault="00C53BE6" w:rsidP="00C53BE6">
            <w:pPr>
              <w:spacing w:after="0"/>
              <w:jc w:val="both"/>
              <w:rPr>
                <w:rFonts w:ascii="Arial" w:hAnsi="Arial" w:cs="Arial"/>
                <w:sz w:val="22"/>
                <w:szCs w:val="22"/>
              </w:rPr>
            </w:pPr>
            <w:r w:rsidRPr="00707866">
              <w:rPr>
                <w:rFonts w:ascii="Arial" w:hAnsi="Arial" w:cs="Arial"/>
                <w:sz w:val="22"/>
                <w:szCs w:val="22"/>
              </w:rPr>
              <w:t xml:space="preserve">The Bariatric Surgery Management and Monitoring </w:t>
            </w:r>
            <w:r w:rsidR="00624695" w:rsidRPr="00707866">
              <w:rPr>
                <w:rFonts w:ascii="Arial" w:hAnsi="Arial" w:cs="Arial"/>
                <w:sz w:val="22"/>
                <w:szCs w:val="22"/>
              </w:rPr>
              <w:t>S</w:t>
            </w:r>
            <w:r w:rsidRPr="00707866">
              <w:rPr>
                <w:rFonts w:ascii="Arial" w:hAnsi="Arial" w:cs="Arial"/>
                <w:sz w:val="22"/>
                <w:szCs w:val="22"/>
              </w:rPr>
              <w:t xml:space="preserve">ervice aims to support </w:t>
            </w:r>
            <w:r w:rsidR="00930FC0" w:rsidRPr="00707866">
              <w:rPr>
                <w:rFonts w:ascii="Arial" w:hAnsi="Arial" w:cs="Arial"/>
                <w:sz w:val="22"/>
                <w:szCs w:val="22"/>
              </w:rPr>
              <w:t xml:space="preserve">the on-going care of </w:t>
            </w:r>
            <w:r w:rsidRPr="00707866">
              <w:rPr>
                <w:rFonts w:ascii="Arial" w:hAnsi="Arial" w:cs="Arial"/>
                <w:sz w:val="22"/>
                <w:szCs w:val="22"/>
              </w:rPr>
              <w:t xml:space="preserve">patients who have </w:t>
            </w:r>
            <w:r w:rsidR="00B93EE3" w:rsidRPr="00707866">
              <w:rPr>
                <w:rFonts w:ascii="Arial" w:hAnsi="Arial" w:cs="Arial"/>
                <w:sz w:val="22"/>
                <w:szCs w:val="22"/>
              </w:rPr>
              <w:t xml:space="preserve">undergone </w:t>
            </w:r>
            <w:r w:rsidRPr="00707866">
              <w:rPr>
                <w:rFonts w:ascii="Arial" w:hAnsi="Arial" w:cs="Arial"/>
                <w:sz w:val="22"/>
                <w:szCs w:val="22"/>
              </w:rPr>
              <w:t>bariatric surgery</w:t>
            </w:r>
            <w:r w:rsidR="00930FC0" w:rsidRPr="00707866">
              <w:rPr>
                <w:rFonts w:ascii="Arial" w:hAnsi="Arial" w:cs="Arial"/>
                <w:sz w:val="22"/>
                <w:szCs w:val="22"/>
              </w:rPr>
              <w:t>.</w:t>
            </w:r>
          </w:p>
          <w:p w:rsidR="00C879EE" w:rsidRPr="00707866" w:rsidRDefault="00C879EE" w:rsidP="00C53BE6">
            <w:pPr>
              <w:spacing w:after="0"/>
              <w:jc w:val="both"/>
              <w:rPr>
                <w:rFonts w:ascii="Arial" w:hAnsi="Arial" w:cs="Arial"/>
                <w:sz w:val="22"/>
                <w:szCs w:val="22"/>
              </w:rPr>
            </w:pPr>
          </w:p>
          <w:p w:rsidR="00C879EE" w:rsidRPr="00707866" w:rsidRDefault="00C879EE" w:rsidP="00C53BE6">
            <w:pPr>
              <w:spacing w:after="0"/>
              <w:jc w:val="both"/>
              <w:rPr>
                <w:rFonts w:ascii="Arial" w:hAnsi="Arial" w:cs="Arial"/>
                <w:sz w:val="22"/>
                <w:szCs w:val="22"/>
              </w:rPr>
            </w:pPr>
            <w:r w:rsidRPr="00707866">
              <w:rPr>
                <w:rFonts w:ascii="Arial" w:hAnsi="Arial" w:cs="Arial"/>
                <w:sz w:val="22"/>
                <w:szCs w:val="22"/>
              </w:rPr>
              <w:t xml:space="preserve">This service </w:t>
            </w:r>
            <w:r w:rsidR="00EE5FA8" w:rsidRPr="00707866">
              <w:rPr>
                <w:rFonts w:ascii="Arial" w:hAnsi="Arial" w:cs="Arial"/>
                <w:sz w:val="22"/>
                <w:szCs w:val="22"/>
              </w:rPr>
              <w:t>requires practices/primary care networks to</w:t>
            </w:r>
            <w:r w:rsidRPr="00707866">
              <w:rPr>
                <w:rFonts w:ascii="Arial" w:hAnsi="Arial" w:cs="Arial"/>
                <w:sz w:val="22"/>
                <w:szCs w:val="22"/>
              </w:rPr>
              <w:t>:</w:t>
            </w:r>
          </w:p>
          <w:p w:rsidR="00EE5FA8" w:rsidRPr="00707866" w:rsidRDefault="00EE5FA8" w:rsidP="00EE5FA8">
            <w:pPr>
              <w:pStyle w:val="ListParagraph"/>
              <w:numPr>
                <w:ilvl w:val="0"/>
                <w:numId w:val="39"/>
              </w:numPr>
              <w:jc w:val="both"/>
              <w:rPr>
                <w:rFonts w:ascii="Arial" w:hAnsi="Arial" w:cs="Arial"/>
                <w:sz w:val="22"/>
                <w:szCs w:val="22"/>
              </w:rPr>
            </w:pPr>
            <w:r w:rsidRPr="00707866">
              <w:rPr>
                <w:rFonts w:ascii="Arial" w:hAnsi="Arial" w:cs="Arial"/>
                <w:sz w:val="22"/>
                <w:szCs w:val="22"/>
              </w:rPr>
              <w:t>Keep a register of patients who have undergone bariatric surgery, including a record of the type of procedure.</w:t>
            </w:r>
          </w:p>
          <w:p w:rsidR="00EE5FA8" w:rsidRPr="00707866" w:rsidRDefault="00EE5FA8" w:rsidP="00EE5FA8">
            <w:pPr>
              <w:pStyle w:val="ListParagraph"/>
              <w:numPr>
                <w:ilvl w:val="0"/>
                <w:numId w:val="39"/>
              </w:numPr>
              <w:jc w:val="both"/>
              <w:rPr>
                <w:rFonts w:ascii="Arial" w:hAnsi="Arial" w:cs="Arial"/>
                <w:sz w:val="22"/>
                <w:szCs w:val="22"/>
              </w:rPr>
            </w:pPr>
            <w:r w:rsidRPr="00707866">
              <w:rPr>
                <w:rFonts w:ascii="Arial" w:hAnsi="Arial" w:cs="Arial"/>
                <w:sz w:val="22"/>
                <w:szCs w:val="22"/>
              </w:rPr>
              <w:t>Encourage patients to check their own weight regularly and to attend an annual BMI and diet review with a healthcare professional.</w:t>
            </w:r>
          </w:p>
          <w:p w:rsidR="00EE5FA8" w:rsidRPr="00707866" w:rsidRDefault="00EE5FA8" w:rsidP="00EE5FA8">
            <w:pPr>
              <w:pStyle w:val="ListParagraph"/>
              <w:numPr>
                <w:ilvl w:val="0"/>
                <w:numId w:val="39"/>
              </w:numPr>
              <w:jc w:val="both"/>
              <w:rPr>
                <w:rFonts w:ascii="Arial" w:hAnsi="Arial" w:cs="Arial"/>
                <w:sz w:val="22"/>
                <w:szCs w:val="22"/>
              </w:rPr>
            </w:pPr>
            <w:r w:rsidRPr="00707866">
              <w:rPr>
                <w:rFonts w:ascii="Arial" w:hAnsi="Arial" w:cs="Arial"/>
                <w:sz w:val="22"/>
                <w:szCs w:val="22"/>
              </w:rPr>
              <w:t>Monitor for</w:t>
            </w:r>
            <w:r w:rsidR="0015638E" w:rsidRPr="00707866">
              <w:rPr>
                <w:rFonts w:ascii="Arial" w:hAnsi="Arial" w:cs="Arial"/>
                <w:sz w:val="22"/>
                <w:szCs w:val="22"/>
              </w:rPr>
              <w:t>,</w:t>
            </w:r>
            <w:r w:rsidRPr="00707866">
              <w:rPr>
                <w:rFonts w:ascii="Arial" w:hAnsi="Arial" w:cs="Arial"/>
                <w:sz w:val="22"/>
                <w:szCs w:val="22"/>
              </w:rPr>
              <w:t xml:space="preserve"> and review co-morbidities post-surgery (e.g. diabetes, hypertension, </w:t>
            </w:r>
            <w:proofErr w:type="spellStart"/>
            <w:r w:rsidRPr="00707866">
              <w:rPr>
                <w:rFonts w:ascii="Arial" w:hAnsi="Arial" w:cs="Arial"/>
                <w:sz w:val="22"/>
                <w:szCs w:val="22"/>
              </w:rPr>
              <w:t>hypercholesterolaemia</w:t>
            </w:r>
            <w:proofErr w:type="spellEnd"/>
            <w:r w:rsidRPr="00707866">
              <w:rPr>
                <w:rFonts w:ascii="Arial" w:hAnsi="Arial" w:cs="Arial"/>
                <w:sz w:val="22"/>
                <w:szCs w:val="22"/>
              </w:rPr>
              <w:t>, sleep apnoea, mental health)</w:t>
            </w:r>
          </w:p>
          <w:p w:rsidR="00EE5FA8" w:rsidRPr="00707866" w:rsidRDefault="00281D13" w:rsidP="00EE5FA8">
            <w:pPr>
              <w:pStyle w:val="ListParagraph"/>
              <w:numPr>
                <w:ilvl w:val="0"/>
                <w:numId w:val="39"/>
              </w:numPr>
              <w:jc w:val="both"/>
              <w:rPr>
                <w:rFonts w:ascii="Arial" w:hAnsi="Arial" w:cs="Arial"/>
                <w:sz w:val="22"/>
                <w:szCs w:val="22"/>
              </w:rPr>
            </w:pPr>
            <w:r w:rsidRPr="00707866">
              <w:rPr>
                <w:rFonts w:ascii="Arial" w:hAnsi="Arial" w:cs="Arial"/>
                <w:sz w:val="22"/>
                <w:szCs w:val="22"/>
              </w:rPr>
              <w:t>Undertake an annual m</w:t>
            </w:r>
            <w:r w:rsidR="00EE5FA8" w:rsidRPr="00707866">
              <w:rPr>
                <w:rFonts w:ascii="Arial" w:hAnsi="Arial" w:cs="Arial"/>
                <w:sz w:val="22"/>
                <w:szCs w:val="22"/>
              </w:rPr>
              <w:t>edication review</w:t>
            </w:r>
          </w:p>
          <w:p w:rsidR="00EE5FA8" w:rsidRPr="00707866" w:rsidRDefault="00281D13" w:rsidP="00EE5FA8">
            <w:pPr>
              <w:pStyle w:val="ListParagraph"/>
              <w:numPr>
                <w:ilvl w:val="0"/>
                <w:numId w:val="39"/>
              </w:numPr>
              <w:jc w:val="both"/>
              <w:rPr>
                <w:rFonts w:ascii="Arial" w:hAnsi="Arial" w:cs="Arial"/>
                <w:sz w:val="22"/>
                <w:szCs w:val="22"/>
              </w:rPr>
            </w:pPr>
            <w:r w:rsidRPr="00707866">
              <w:rPr>
                <w:rFonts w:ascii="Arial" w:hAnsi="Arial" w:cs="Arial"/>
                <w:sz w:val="22"/>
                <w:szCs w:val="22"/>
              </w:rPr>
              <w:t>Undertake a</w:t>
            </w:r>
            <w:r w:rsidR="00EE5FA8" w:rsidRPr="00707866">
              <w:rPr>
                <w:rFonts w:ascii="Arial" w:hAnsi="Arial" w:cs="Arial"/>
                <w:sz w:val="22"/>
                <w:szCs w:val="22"/>
              </w:rPr>
              <w:t>nnual blood monitoring (starting two years post-surgery)</w:t>
            </w:r>
          </w:p>
          <w:p w:rsidR="00EE5FA8" w:rsidRPr="00707866" w:rsidRDefault="00281D13" w:rsidP="00EE5FA8">
            <w:pPr>
              <w:pStyle w:val="ListParagraph"/>
              <w:numPr>
                <w:ilvl w:val="0"/>
                <w:numId w:val="39"/>
              </w:numPr>
              <w:jc w:val="both"/>
              <w:rPr>
                <w:rFonts w:ascii="Arial" w:hAnsi="Arial" w:cs="Arial"/>
                <w:sz w:val="22"/>
                <w:szCs w:val="22"/>
              </w:rPr>
            </w:pPr>
            <w:r w:rsidRPr="00707866">
              <w:rPr>
                <w:rFonts w:ascii="Arial" w:hAnsi="Arial" w:cs="Arial"/>
                <w:sz w:val="22"/>
                <w:szCs w:val="22"/>
              </w:rPr>
              <w:t>Undertake t</w:t>
            </w:r>
            <w:r w:rsidR="00EE5FA8" w:rsidRPr="00707866">
              <w:rPr>
                <w:rFonts w:ascii="Arial" w:hAnsi="Arial" w:cs="Arial"/>
                <w:sz w:val="22"/>
                <w:szCs w:val="22"/>
              </w:rPr>
              <w:t xml:space="preserve">hree monthly monitoring of bloods in pregnant ladies who have undergone bariatric surgery. </w:t>
            </w:r>
          </w:p>
          <w:p w:rsidR="00EE5FA8" w:rsidRPr="00707866" w:rsidRDefault="00EE5FA8" w:rsidP="00EE5FA8">
            <w:pPr>
              <w:pStyle w:val="ListParagraph"/>
              <w:numPr>
                <w:ilvl w:val="0"/>
                <w:numId w:val="39"/>
              </w:numPr>
              <w:jc w:val="both"/>
              <w:rPr>
                <w:rFonts w:ascii="Arial" w:hAnsi="Arial" w:cs="Arial"/>
                <w:sz w:val="22"/>
                <w:szCs w:val="22"/>
              </w:rPr>
            </w:pPr>
            <w:r w:rsidRPr="00707866">
              <w:rPr>
                <w:rFonts w:ascii="Arial" w:hAnsi="Arial" w:cs="Arial"/>
                <w:sz w:val="22"/>
                <w:szCs w:val="22"/>
              </w:rPr>
              <w:t>Ensure that patients are taking the appropriate lifelong nutritional supplements required post</w:t>
            </w:r>
            <w:r w:rsidR="0015638E" w:rsidRPr="00707866">
              <w:rPr>
                <w:rFonts w:ascii="Arial" w:hAnsi="Arial" w:cs="Arial"/>
                <w:sz w:val="22"/>
                <w:szCs w:val="22"/>
              </w:rPr>
              <w:t>-</w:t>
            </w:r>
            <w:r w:rsidRPr="00707866">
              <w:rPr>
                <w:rFonts w:ascii="Arial" w:hAnsi="Arial" w:cs="Arial"/>
                <w:sz w:val="22"/>
                <w:szCs w:val="22"/>
              </w:rPr>
              <w:t>surgery as recommended by the bariatric centre i.e.</w:t>
            </w:r>
          </w:p>
          <w:p w:rsidR="005731F1" w:rsidRPr="00707866" w:rsidRDefault="005731F1" w:rsidP="0015638E">
            <w:pPr>
              <w:pStyle w:val="ListParagraph"/>
              <w:numPr>
                <w:ilvl w:val="1"/>
                <w:numId w:val="39"/>
              </w:numPr>
              <w:jc w:val="both"/>
              <w:rPr>
                <w:rFonts w:ascii="Arial" w:hAnsi="Arial" w:cs="Arial"/>
                <w:sz w:val="22"/>
                <w:szCs w:val="22"/>
              </w:rPr>
            </w:pPr>
            <w:r w:rsidRPr="00707866">
              <w:rPr>
                <w:rFonts w:ascii="Arial" w:hAnsi="Arial" w:cs="Arial"/>
                <w:sz w:val="22"/>
                <w:szCs w:val="22"/>
              </w:rPr>
              <w:t>Sleeve gastrectomy and Gastric Bypass</w:t>
            </w:r>
          </w:p>
          <w:p w:rsidR="00C53BE6" w:rsidRPr="00707866" w:rsidRDefault="00C879EE" w:rsidP="0015638E">
            <w:pPr>
              <w:pStyle w:val="ListParagraph"/>
              <w:numPr>
                <w:ilvl w:val="2"/>
                <w:numId w:val="39"/>
              </w:numPr>
              <w:jc w:val="both"/>
              <w:rPr>
                <w:rFonts w:ascii="Arial" w:hAnsi="Arial" w:cs="Arial"/>
                <w:sz w:val="22"/>
                <w:szCs w:val="22"/>
              </w:rPr>
            </w:pPr>
            <w:r w:rsidRPr="00707866">
              <w:rPr>
                <w:rFonts w:ascii="Arial" w:hAnsi="Arial" w:cs="Arial"/>
                <w:sz w:val="22"/>
                <w:szCs w:val="22"/>
              </w:rPr>
              <w:t>Lifelong prescribing of calcium and vitamin D</w:t>
            </w:r>
          </w:p>
          <w:p w:rsidR="00C879EE" w:rsidRPr="00707866" w:rsidRDefault="00C879EE" w:rsidP="0015638E">
            <w:pPr>
              <w:pStyle w:val="ListParagraph"/>
              <w:numPr>
                <w:ilvl w:val="2"/>
                <w:numId w:val="39"/>
              </w:numPr>
              <w:jc w:val="both"/>
              <w:rPr>
                <w:rFonts w:ascii="Arial" w:hAnsi="Arial" w:cs="Arial"/>
                <w:sz w:val="22"/>
                <w:szCs w:val="22"/>
              </w:rPr>
            </w:pPr>
            <w:r w:rsidRPr="00707866">
              <w:rPr>
                <w:rFonts w:ascii="Arial" w:hAnsi="Arial" w:cs="Arial"/>
                <w:sz w:val="22"/>
                <w:szCs w:val="22"/>
              </w:rPr>
              <w:t>Lifelong administration of vitamin B12 injection 1mg once every 3 months</w:t>
            </w:r>
          </w:p>
          <w:p w:rsidR="00161FF4" w:rsidRPr="00707866" w:rsidRDefault="00161FF4" w:rsidP="0015638E">
            <w:pPr>
              <w:pStyle w:val="ListParagraph"/>
              <w:numPr>
                <w:ilvl w:val="2"/>
                <w:numId w:val="39"/>
              </w:numPr>
              <w:jc w:val="both"/>
              <w:rPr>
                <w:rFonts w:ascii="Arial" w:hAnsi="Arial" w:cs="Arial"/>
                <w:sz w:val="22"/>
                <w:szCs w:val="22"/>
              </w:rPr>
            </w:pPr>
            <w:r w:rsidRPr="00707866">
              <w:rPr>
                <w:rFonts w:ascii="Arial" w:hAnsi="Arial" w:cs="Arial"/>
                <w:sz w:val="22"/>
                <w:szCs w:val="22"/>
              </w:rPr>
              <w:t>Advice to purchase a complete multivitamin and mineral supplement</w:t>
            </w:r>
          </w:p>
          <w:p w:rsidR="00161FF4" w:rsidRPr="00707866" w:rsidRDefault="00161FF4" w:rsidP="0015638E">
            <w:pPr>
              <w:pStyle w:val="ListParagraph"/>
              <w:numPr>
                <w:ilvl w:val="2"/>
                <w:numId w:val="39"/>
              </w:numPr>
              <w:jc w:val="both"/>
              <w:rPr>
                <w:rFonts w:ascii="Arial" w:hAnsi="Arial" w:cs="Arial"/>
                <w:sz w:val="22"/>
                <w:szCs w:val="22"/>
              </w:rPr>
            </w:pPr>
            <w:r w:rsidRPr="00707866">
              <w:rPr>
                <w:rFonts w:ascii="Arial" w:hAnsi="Arial" w:cs="Arial"/>
                <w:sz w:val="22"/>
                <w:szCs w:val="22"/>
              </w:rPr>
              <w:t>Prescribing/advice to purchase other nutritional supplements where considered necessary.</w:t>
            </w:r>
          </w:p>
          <w:p w:rsidR="005731F1" w:rsidRPr="00707866" w:rsidRDefault="005731F1" w:rsidP="005731F1">
            <w:pPr>
              <w:pStyle w:val="ListParagraph"/>
              <w:numPr>
                <w:ilvl w:val="1"/>
                <w:numId w:val="39"/>
              </w:numPr>
              <w:jc w:val="both"/>
              <w:rPr>
                <w:rFonts w:ascii="Arial" w:hAnsi="Arial" w:cs="Arial"/>
                <w:sz w:val="22"/>
                <w:szCs w:val="22"/>
              </w:rPr>
            </w:pPr>
            <w:r w:rsidRPr="00707866">
              <w:rPr>
                <w:rFonts w:ascii="Arial" w:hAnsi="Arial" w:cs="Arial"/>
                <w:sz w:val="22"/>
                <w:szCs w:val="22"/>
              </w:rPr>
              <w:t>Gastric Band</w:t>
            </w:r>
          </w:p>
          <w:p w:rsidR="005731F1" w:rsidRPr="00707866" w:rsidRDefault="005731F1" w:rsidP="0015638E">
            <w:pPr>
              <w:pStyle w:val="ListParagraph"/>
              <w:numPr>
                <w:ilvl w:val="2"/>
                <w:numId w:val="39"/>
              </w:numPr>
              <w:jc w:val="both"/>
              <w:rPr>
                <w:rFonts w:ascii="Arial" w:hAnsi="Arial" w:cs="Arial"/>
                <w:sz w:val="22"/>
                <w:szCs w:val="22"/>
              </w:rPr>
            </w:pPr>
            <w:r w:rsidRPr="00707866">
              <w:rPr>
                <w:rFonts w:ascii="Arial" w:hAnsi="Arial" w:cs="Arial"/>
                <w:sz w:val="22"/>
                <w:szCs w:val="22"/>
              </w:rPr>
              <w:t>Advice to purchase a complete multivitamin and mineral supplement</w:t>
            </w:r>
          </w:p>
          <w:p w:rsidR="00C53BE6" w:rsidRPr="00707866" w:rsidRDefault="00C53BE6" w:rsidP="00EE5FA8">
            <w:pPr>
              <w:pStyle w:val="ListParagraph"/>
              <w:numPr>
                <w:ilvl w:val="0"/>
                <w:numId w:val="39"/>
              </w:numPr>
              <w:jc w:val="both"/>
              <w:rPr>
                <w:rFonts w:ascii="Arial" w:hAnsi="Arial" w:cs="Arial"/>
                <w:sz w:val="22"/>
                <w:szCs w:val="22"/>
              </w:rPr>
            </w:pPr>
            <w:r w:rsidRPr="00707866">
              <w:rPr>
                <w:rFonts w:ascii="Arial" w:hAnsi="Arial" w:cs="Arial"/>
                <w:sz w:val="22"/>
                <w:szCs w:val="22"/>
              </w:rPr>
              <w:t>Physiological support tailored to the individual</w:t>
            </w:r>
          </w:p>
          <w:p w:rsidR="00C53BE6" w:rsidRPr="00707866" w:rsidRDefault="00C53BE6" w:rsidP="00EE5FA8">
            <w:pPr>
              <w:pStyle w:val="ListParagraph"/>
              <w:numPr>
                <w:ilvl w:val="0"/>
                <w:numId w:val="39"/>
              </w:numPr>
              <w:jc w:val="both"/>
              <w:rPr>
                <w:rFonts w:ascii="Arial" w:hAnsi="Arial" w:cs="Arial"/>
                <w:sz w:val="22"/>
                <w:szCs w:val="22"/>
              </w:rPr>
            </w:pPr>
            <w:r w:rsidRPr="00707866">
              <w:rPr>
                <w:rFonts w:ascii="Arial" w:hAnsi="Arial" w:cs="Arial"/>
                <w:sz w:val="22"/>
                <w:szCs w:val="22"/>
              </w:rPr>
              <w:t>Information about professionally-led or peer-support groups</w:t>
            </w:r>
          </w:p>
          <w:p w:rsidR="00C53BE6" w:rsidRPr="00707866" w:rsidRDefault="00C53BE6" w:rsidP="00A656C7">
            <w:pPr>
              <w:spacing w:after="0"/>
              <w:rPr>
                <w:rFonts w:ascii="Arial" w:hAnsi="Arial" w:cs="Arial"/>
                <w:sz w:val="22"/>
                <w:szCs w:val="22"/>
              </w:rPr>
            </w:pPr>
          </w:p>
          <w:p w:rsidR="00926DA3" w:rsidRPr="00707866" w:rsidRDefault="00926DA3" w:rsidP="00031198">
            <w:pPr>
              <w:spacing w:after="0"/>
              <w:rPr>
                <w:rFonts w:ascii="Arial" w:hAnsi="Arial" w:cs="Arial"/>
                <w:b/>
                <w:sz w:val="22"/>
                <w:szCs w:val="22"/>
              </w:rPr>
            </w:pPr>
            <w:r w:rsidRPr="00707866">
              <w:rPr>
                <w:rFonts w:ascii="Arial" w:hAnsi="Arial" w:cs="Arial"/>
                <w:b/>
                <w:sz w:val="22"/>
                <w:szCs w:val="22"/>
              </w:rPr>
              <w:t>3.2</w:t>
            </w:r>
            <w:r w:rsidRPr="00707866">
              <w:rPr>
                <w:rFonts w:ascii="Arial" w:hAnsi="Arial" w:cs="Arial"/>
                <w:b/>
                <w:sz w:val="22"/>
                <w:szCs w:val="22"/>
              </w:rPr>
              <w:tab/>
              <w:t>Service description/care pathway</w:t>
            </w:r>
          </w:p>
          <w:p w:rsidR="004E1899" w:rsidRPr="00707866" w:rsidRDefault="004E1899" w:rsidP="00031198">
            <w:pPr>
              <w:spacing w:after="0"/>
              <w:rPr>
                <w:rFonts w:ascii="Arial" w:hAnsi="Arial" w:cs="Arial"/>
                <w:b/>
                <w:color w:val="009966"/>
                <w:sz w:val="22"/>
                <w:szCs w:val="22"/>
              </w:rPr>
            </w:pPr>
          </w:p>
          <w:p w:rsidR="00526AED"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The term “Bariatric Surgery” covers three main procedures; adjustable gastric bands (AGB), sleeve gastrectomy (SG) and roux-</w:t>
            </w:r>
            <w:proofErr w:type="spellStart"/>
            <w:r w:rsidRPr="00707866">
              <w:rPr>
                <w:rFonts w:ascii="Arial" w:eastAsia="Arial" w:hAnsi="Arial" w:cs="Arial"/>
                <w:sz w:val="22"/>
                <w:szCs w:val="22"/>
                <w:lang w:eastAsia="en-US"/>
              </w:rPr>
              <w:t>en</w:t>
            </w:r>
            <w:proofErr w:type="spellEnd"/>
            <w:r w:rsidRPr="00707866">
              <w:rPr>
                <w:rFonts w:ascii="Arial" w:eastAsia="Arial" w:hAnsi="Arial" w:cs="Arial"/>
                <w:sz w:val="22"/>
                <w:szCs w:val="22"/>
                <w:lang w:eastAsia="en-US"/>
              </w:rPr>
              <w:t>-Y gastric bypass (GBP).  Bariatric procedures affect nutritional intake and some procedures may affect the absorption of macronutrients and/or micronutrients (see below).</w:t>
            </w:r>
          </w:p>
          <w:tbl>
            <w:tblPr>
              <w:tblStyle w:val="TableGrid"/>
              <w:tblW w:w="0" w:type="auto"/>
              <w:tblInd w:w="10" w:type="dxa"/>
              <w:tblLook w:val="04A0" w:firstRow="1" w:lastRow="0" w:firstColumn="1" w:lastColumn="0" w:noHBand="0" w:noVBand="1"/>
            </w:tblPr>
            <w:tblGrid>
              <w:gridCol w:w="2963"/>
              <w:gridCol w:w="5945"/>
            </w:tblGrid>
            <w:tr w:rsidR="00C53BE6" w:rsidTr="00707866">
              <w:trPr>
                <w:trHeight w:val="112"/>
              </w:trPr>
              <w:tc>
                <w:tcPr>
                  <w:tcW w:w="2963" w:type="dxa"/>
                  <w:shd w:val="clear" w:color="auto" w:fill="F2F2F2" w:themeFill="background1" w:themeFillShade="F2"/>
                </w:tcPr>
                <w:p w:rsidR="00C53BE6"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Surgical Procedure</w:t>
                  </w:r>
                </w:p>
              </w:tc>
              <w:tc>
                <w:tcPr>
                  <w:tcW w:w="5945" w:type="dxa"/>
                  <w:shd w:val="clear" w:color="auto" w:fill="F2F2F2" w:themeFill="background1" w:themeFillShade="F2"/>
                </w:tcPr>
                <w:p w:rsidR="00C53BE6"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Impact on Nutrition</w:t>
                  </w:r>
                </w:p>
              </w:tc>
            </w:tr>
            <w:tr w:rsidR="00C53BE6" w:rsidTr="00707866">
              <w:trPr>
                <w:trHeight w:val="337"/>
              </w:trPr>
              <w:tc>
                <w:tcPr>
                  <w:tcW w:w="2963" w:type="dxa"/>
                </w:tcPr>
                <w:p w:rsidR="00C53BE6"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Gastric Band</w:t>
                  </w:r>
                </w:p>
              </w:tc>
              <w:tc>
                <w:tcPr>
                  <w:tcW w:w="5945" w:type="dxa"/>
                </w:tcPr>
                <w:p w:rsidR="00C53BE6"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No impact on absorption</w:t>
                  </w:r>
                </w:p>
                <w:p w:rsidR="00C53BE6"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Over tight gastric band affects nutritional quality of diet including protein and iron</w:t>
                  </w:r>
                </w:p>
              </w:tc>
            </w:tr>
            <w:tr w:rsidR="00C53BE6" w:rsidTr="00707866">
              <w:trPr>
                <w:trHeight w:val="225"/>
              </w:trPr>
              <w:tc>
                <w:tcPr>
                  <w:tcW w:w="2963" w:type="dxa"/>
                </w:tcPr>
                <w:p w:rsidR="00C53BE6"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Sleeve gastrectomy</w:t>
                  </w:r>
                </w:p>
              </w:tc>
              <w:tc>
                <w:tcPr>
                  <w:tcW w:w="5945" w:type="dxa"/>
                </w:tcPr>
                <w:p w:rsidR="00C53BE6"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May be some impact on absorption including iron and vitamin B12</w:t>
                  </w:r>
                </w:p>
              </w:tc>
            </w:tr>
            <w:tr w:rsidR="00C53BE6" w:rsidTr="00707866">
              <w:trPr>
                <w:trHeight w:val="455"/>
              </w:trPr>
              <w:tc>
                <w:tcPr>
                  <w:tcW w:w="2963" w:type="dxa"/>
                </w:tcPr>
                <w:p w:rsidR="00C53BE6"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Gastric Bypass</w:t>
                  </w:r>
                </w:p>
              </w:tc>
              <w:tc>
                <w:tcPr>
                  <w:tcW w:w="5945" w:type="dxa"/>
                </w:tcPr>
                <w:p w:rsidR="00C53BE6" w:rsidRPr="00707866" w:rsidRDefault="00C53BE6" w:rsidP="00C53BE6">
                  <w:pPr>
                    <w:widowControl w:val="0"/>
                    <w:tabs>
                      <w:tab w:val="left" w:pos="952"/>
                      <w:tab w:val="left" w:pos="953"/>
                    </w:tabs>
                    <w:autoSpaceDE w:val="0"/>
                    <w:autoSpaceDN w:val="0"/>
                    <w:rPr>
                      <w:rFonts w:ascii="Arial" w:eastAsia="Arial" w:hAnsi="Arial" w:cs="Arial"/>
                      <w:sz w:val="22"/>
                      <w:szCs w:val="22"/>
                      <w:lang w:eastAsia="en-US"/>
                    </w:rPr>
                  </w:pPr>
                  <w:r w:rsidRPr="00707866">
                    <w:rPr>
                      <w:rFonts w:ascii="Arial" w:eastAsia="Arial" w:hAnsi="Arial" w:cs="Arial"/>
                      <w:sz w:val="22"/>
                      <w:szCs w:val="22"/>
                      <w:lang w:eastAsia="en-US"/>
                    </w:rPr>
                    <w:t>Impacts on absorption of iron, vitamin B12, Calcium and Vitamin D.  Long limb bypasses may affect absorption of protein, fat, Vitamin A and trace elements in addition</w:t>
                  </w:r>
                </w:p>
              </w:tc>
            </w:tr>
          </w:tbl>
          <w:p w:rsidR="009E6CA8" w:rsidRDefault="00C53BE6" w:rsidP="009E6CA8">
            <w:pPr>
              <w:widowControl w:val="0"/>
              <w:tabs>
                <w:tab w:val="left" w:pos="952"/>
                <w:tab w:val="left" w:pos="953"/>
              </w:tabs>
              <w:autoSpaceDE w:val="0"/>
              <w:autoSpaceDN w:val="0"/>
              <w:rPr>
                <w:rFonts w:ascii="Arial" w:eastAsia="Arial" w:hAnsi="Arial" w:cs="Arial"/>
                <w:sz w:val="20"/>
                <w:szCs w:val="22"/>
                <w:lang w:eastAsia="en-US"/>
              </w:rPr>
            </w:pPr>
            <w:r w:rsidRPr="00C53BE6">
              <w:rPr>
                <w:rFonts w:ascii="Arial" w:eastAsia="Arial" w:hAnsi="Arial" w:cs="Arial"/>
                <w:i/>
                <w:sz w:val="18"/>
                <w:szCs w:val="22"/>
                <w:lang w:eastAsia="en-US"/>
              </w:rPr>
              <w:t xml:space="preserve">GP Guidance:  Management of nutrition following bariatric surgery – August 2014 </w:t>
            </w:r>
          </w:p>
          <w:p w:rsidR="009E6CA8" w:rsidRPr="000467FD" w:rsidRDefault="009E6CA8" w:rsidP="009E6CA8">
            <w:pPr>
              <w:jc w:val="both"/>
              <w:rPr>
                <w:rFonts w:ascii="Arial" w:hAnsi="Arial" w:cs="Arial"/>
                <w:sz w:val="22"/>
                <w:szCs w:val="22"/>
              </w:rPr>
            </w:pPr>
            <w:r w:rsidRPr="000467FD">
              <w:rPr>
                <w:rFonts w:ascii="Arial" w:hAnsi="Arial" w:cs="Arial"/>
                <w:sz w:val="22"/>
                <w:szCs w:val="22"/>
              </w:rPr>
              <w:t xml:space="preserve">Practices are required to keep a register of patients who have undergone bariatric surgery, </w:t>
            </w:r>
            <w:r w:rsidRPr="000467FD">
              <w:rPr>
                <w:rFonts w:ascii="Arial" w:hAnsi="Arial" w:cs="Arial"/>
                <w:sz w:val="22"/>
                <w:szCs w:val="22"/>
              </w:rPr>
              <w:lastRenderedPageBreak/>
              <w:t>including a record of the type of procedure.</w:t>
            </w:r>
          </w:p>
          <w:p w:rsidR="009E6CA8" w:rsidRPr="000467FD" w:rsidRDefault="00013A4D" w:rsidP="00013A4D">
            <w:pPr>
              <w:jc w:val="both"/>
              <w:rPr>
                <w:rFonts w:ascii="Arial" w:hAnsi="Arial" w:cs="Arial"/>
                <w:sz w:val="22"/>
                <w:szCs w:val="22"/>
              </w:rPr>
            </w:pPr>
            <w:r w:rsidRPr="000467FD">
              <w:rPr>
                <w:rFonts w:ascii="Arial" w:hAnsi="Arial" w:cs="Arial"/>
                <w:sz w:val="22"/>
                <w:szCs w:val="22"/>
              </w:rPr>
              <w:t>Practices are required to e</w:t>
            </w:r>
            <w:r w:rsidR="009E6CA8" w:rsidRPr="000467FD">
              <w:rPr>
                <w:rFonts w:ascii="Arial" w:hAnsi="Arial" w:cs="Arial"/>
                <w:sz w:val="22"/>
                <w:szCs w:val="22"/>
              </w:rPr>
              <w:t>ncourage patients to check their own weight regularly and to attend an annual BMI and diet review with a healthcare professional.</w:t>
            </w:r>
          </w:p>
          <w:p w:rsidR="009E6CA8" w:rsidRPr="000467FD" w:rsidRDefault="00013A4D" w:rsidP="00013A4D">
            <w:pPr>
              <w:jc w:val="both"/>
              <w:rPr>
                <w:rFonts w:ascii="Arial" w:hAnsi="Arial" w:cs="Arial"/>
                <w:sz w:val="22"/>
                <w:szCs w:val="22"/>
              </w:rPr>
            </w:pPr>
            <w:r w:rsidRPr="000467FD">
              <w:rPr>
                <w:rFonts w:ascii="Arial" w:hAnsi="Arial" w:cs="Arial"/>
                <w:sz w:val="22"/>
                <w:szCs w:val="22"/>
              </w:rPr>
              <w:t>Practices are required to m</w:t>
            </w:r>
            <w:r w:rsidR="009E6CA8" w:rsidRPr="000467FD">
              <w:rPr>
                <w:rFonts w:ascii="Arial" w:hAnsi="Arial" w:cs="Arial"/>
                <w:sz w:val="22"/>
                <w:szCs w:val="22"/>
              </w:rPr>
              <w:t xml:space="preserve">onitor for and review co-morbidities post-surgery (e.g. diabetes, hypertension, </w:t>
            </w:r>
            <w:proofErr w:type="spellStart"/>
            <w:r w:rsidR="009E6CA8" w:rsidRPr="000467FD">
              <w:rPr>
                <w:rFonts w:ascii="Arial" w:hAnsi="Arial" w:cs="Arial"/>
                <w:sz w:val="22"/>
                <w:szCs w:val="22"/>
              </w:rPr>
              <w:t>hypercholesterolaemia</w:t>
            </w:r>
            <w:proofErr w:type="spellEnd"/>
            <w:r w:rsidR="009E6CA8" w:rsidRPr="000467FD">
              <w:rPr>
                <w:rFonts w:ascii="Arial" w:hAnsi="Arial" w:cs="Arial"/>
                <w:sz w:val="22"/>
                <w:szCs w:val="22"/>
              </w:rPr>
              <w:t xml:space="preserve">, sleep </w:t>
            </w:r>
            <w:proofErr w:type="spellStart"/>
            <w:r w:rsidR="009E6CA8" w:rsidRPr="000467FD">
              <w:rPr>
                <w:rFonts w:ascii="Arial" w:hAnsi="Arial" w:cs="Arial"/>
                <w:sz w:val="22"/>
                <w:szCs w:val="22"/>
              </w:rPr>
              <w:t>apnoea</w:t>
            </w:r>
            <w:proofErr w:type="spellEnd"/>
            <w:r w:rsidR="009E6CA8" w:rsidRPr="000467FD">
              <w:rPr>
                <w:rFonts w:ascii="Arial" w:hAnsi="Arial" w:cs="Arial"/>
                <w:sz w:val="22"/>
                <w:szCs w:val="22"/>
              </w:rPr>
              <w:t>, mental health)</w:t>
            </w:r>
          </w:p>
          <w:p w:rsidR="00013A4D" w:rsidRPr="000467FD" w:rsidRDefault="00013A4D" w:rsidP="00013A4D">
            <w:pPr>
              <w:jc w:val="both"/>
              <w:rPr>
                <w:rFonts w:ascii="Arial" w:hAnsi="Arial" w:cs="Arial"/>
                <w:sz w:val="22"/>
                <w:szCs w:val="22"/>
              </w:rPr>
            </w:pPr>
            <w:r w:rsidRPr="000467FD">
              <w:rPr>
                <w:rFonts w:ascii="Arial" w:hAnsi="Arial" w:cs="Arial"/>
                <w:sz w:val="22"/>
                <w:szCs w:val="22"/>
              </w:rPr>
              <w:t>Practices are required to undertake medication review for all patients on their ‘bariatric register’ at least annually.</w:t>
            </w:r>
          </w:p>
          <w:p w:rsidR="009E6CA8" w:rsidRPr="000467FD" w:rsidRDefault="00013A4D" w:rsidP="00013A4D">
            <w:pPr>
              <w:jc w:val="both"/>
              <w:rPr>
                <w:rFonts w:ascii="Arial" w:hAnsi="Arial" w:cs="Arial"/>
                <w:sz w:val="22"/>
                <w:szCs w:val="22"/>
              </w:rPr>
            </w:pPr>
            <w:r w:rsidRPr="000467FD">
              <w:rPr>
                <w:rFonts w:ascii="Arial" w:hAnsi="Arial" w:cs="Arial"/>
                <w:sz w:val="22"/>
                <w:szCs w:val="22"/>
              </w:rPr>
              <w:t>Practices are required to perform blood monitoring on an annual basis</w:t>
            </w:r>
            <w:r w:rsidR="009E6CA8" w:rsidRPr="000467FD">
              <w:rPr>
                <w:rFonts w:ascii="Arial" w:hAnsi="Arial" w:cs="Arial"/>
                <w:sz w:val="22"/>
                <w:szCs w:val="22"/>
              </w:rPr>
              <w:t xml:space="preserve"> (starting two years post-surgery)</w:t>
            </w:r>
            <w:r w:rsidRPr="000467FD">
              <w:rPr>
                <w:rFonts w:ascii="Arial" w:hAnsi="Arial" w:cs="Arial"/>
                <w:sz w:val="22"/>
                <w:szCs w:val="22"/>
              </w:rPr>
              <w:t xml:space="preserve">. </w:t>
            </w:r>
            <w:r w:rsidR="009E6CA8" w:rsidRPr="000467FD">
              <w:rPr>
                <w:rFonts w:ascii="Arial" w:hAnsi="Arial" w:cs="Arial"/>
                <w:sz w:val="22"/>
                <w:szCs w:val="22"/>
              </w:rPr>
              <w:t xml:space="preserve">Three monthly monitoring of bloods </w:t>
            </w:r>
            <w:r w:rsidRPr="000467FD">
              <w:rPr>
                <w:rFonts w:ascii="Arial" w:hAnsi="Arial" w:cs="Arial"/>
                <w:sz w:val="22"/>
                <w:szCs w:val="22"/>
              </w:rPr>
              <w:t xml:space="preserve">is required </w:t>
            </w:r>
            <w:r w:rsidR="009E6CA8" w:rsidRPr="000467FD">
              <w:rPr>
                <w:rFonts w:ascii="Arial" w:hAnsi="Arial" w:cs="Arial"/>
                <w:sz w:val="22"/>
                <w:szCs w:val="22"/>
              </w:rPr>
              <w:t xml:space="preserve">in pregnant ladies who have undergone bariatric surgery. </w:t>
            </w:r>
            <w:r w:rsidR="00281D13" w:rsidRPr="000467FD">
              <w:rPr>
                <w:rFonts w:ascii="Arial" w:hAnsi="Arial" w:cs="Arial"/>
                <w:sz w:val="22"/>
                <w:szCs w:val="22"/>
              </w:rPr>
              <w:t>(see below)</w:t>
            </w:r>
          </w:p>
          <w:p w:rsidR="009E6CA8" w:rsidRPr="000467FD" w:rsidRDefault="00013A4D" w:rsidP="00013A4D">
            <w:pPr>
              <w:jc w:val="both"/>
              <w:rPr>
                <w:rFonts w:ascii="Arial" w:hAnsi="Arial" w:cs="Arial"/>
                <w:sz w:val="22"/>
                <w:szCs w:val="22"/>
              </w:rPr>
            </w:pPr>
            <w:r w:rsidRPr="000467FD">
              <w:rPr>
                <w:rFonts w:ascii="Arial" w:hAnsi="Arial" w:cs="Arial"/>
                <w:sz w:val="22"/>
                <w:szCs w:val="22"/>
              </w:rPr>
              <w:t>Practices are required to e</w:t>
            </w:r>
            <w:r w:rsidR="009E6CA8" w:rsidRPr="000467FD">
              <w:rPr>
                <w:rFonts w:ascii="Arial" w:hAnsi="Arial" w:cs="Arial"/>
                <w:sz w:val="22"/>
                <w:szCs w:val="22"/>
              </w:rPr>
              <w:t>nsure that patients are taking the appropriate lifelong nutritional supplements required post</w:t>
            </w:r>
            <w:r w:rsidR="0015638E" w:rsidRPr="000467FD">
              <w:rPr>
                <w:rFonts w:ascii="Arial" w:hAnsi="Arial" w:cs="Arial"/>
                <w:sz w:val="22"/>
                <w:szCs w:val="22"/>
              </w:rPr>
              <w:t>-</w:t>
            </w:r>
            <w:r w:rsidR="009E6CA8" w:rsidRPr="000467FD">
              <w:rPr>
                <w:rFonts w:ascii="Arial" w:hAnsi="Arial" w:cs="Arial"/>
                <w:sz w:val="22"/>
                <w:szCs w:val="22"/>
              </w:rPr>
              <w:t>surgery as recommended by the bariatric centre i.e.</w:t>
            </w:r>
          </w:p>
          <w:p w:rsidR="00017859" w:rsidRPr="000467FD" w:rsidRDefault="00017859" w:rsidP="00017859">
            <w:pPr>
              <w:pStyle w:val="ListParagraph"/>
              <w:numPr>
                <w:ilvl w:val="1"/>
                <w:numId w:val="39"/>
              </w:numPr>
              <w:jc w:val="both"/>
              <w:rPr>
                <w:rFonts w:ascii="Arial" w:hAnsi="Arial" w:cs="Arial"/>
                <w:sz w:val="22"/>
                <w:szCs w:val="22"/>
              </w:rPr>
            </w:pPr>
            <w:r w:rsidRPr="000467FD">
              <w:rPr>
                <w:rFonts w:ascii="Arial" w:hAnsi="Arial" w:cs="Arial"/>
                <w:sz w:val="22"/>
                <w:szCs w:val="22"/>
              </w:rPr>
              <w:t>Sleeve gastrectomy and Gastric Bypass</w:t>
            </w:r>
          </w:p>
          <w:p w:rsidR="00017859" w:rsidRPr="000467FD" w:rsidRDefault="00017859" w:rsidP="00017859">
            <w:pPr>
              <w:pStyle w:val="ListParagraph"/>
              <w:numPr>
                <w:ilvl w:val="2"/>
                <w:numId w:val="39"/>
              </w:numPr>
              <w:jc w:val="both"/>
              <w:rPr>
                <w:rFonts w:ascii="Arial" w:hAnsi="Arial" w:cs="Arial"/>
                <w:sz w:val="22"/>
                <w:szCs w:val="22"/>
              </w:rPr>
            </w:pPr>
            <w:r w:rsidRPr="000467FD">
              <w:rPr>
                <w:rFonts w:ascii="Arial" w:hAnsi="Arial" w:cs="Arial"/>
                <w:sz w:val="22"/>
                <w:szCs w:val="22"/>
              </w:rPr>
              <w:t>Lifelong prescribing of calcium and vitamin D</w:t>
            </w:r>
          </w:p>
          <w:p w:rsidR="00017859" w:rsidRPr="000467FD" w:rsidRDefault="00017859" w:rsidP="00017859">
            <w:pPr>
              <w:pStyle w:val="ListParagraph"/>
              <w:numPr>
                <w:ilvl w:val="2"/>
                <w:numId w:val="39"/>
              </w:numPr>
              <w:jc w:val="both"/>
              <w:rPr>
                <w:rFonts w:ascii="Arial" w:hAnsi="Arial" w:cs="Arial"/>
                <w:sz w:val="22"/>
                <w:szCs w:val="22"/>
              </w:rPr>
            </w:pPr>
            <w:r w:rsidRPr="000467FD">
              <w:rPr>
                <w:rFonts w:ascii="Arial" w:hAnsi="Arial" w:cs="Arial"/>
                <w:sz w:val="22"/>
                <w:szCs w:val="22"/>
              </w:rPr>
              <w:t>Lifelong administration of vitamin B12 injection 1mg once every 3 months</w:t>
            </w:r>
          </w:p>
          <w:p w:rsidR="00017859" w:rsidRPr="000467FD" w:rsidRDefault="00017859" w:rsidP="00017859">
            <w:pPr>
              <w:pStyle w:val="ListParagraph"/>
              <w:numPr>
                <w:ilvl w:val="2"/>
                <w:numId w:val="39"/>
              </w:numPr>
              <w:jc w:val="both"/>
              <w:rPr>
                <w:rFonts w:ascii="Arial" w:hAnsi="Arial" w:cs="Arial"/>
                <w:sz w:val="22"/>
                <w:szCs w:val="22"/>
              </w:rPr>
            </w:pPr>
            <w:r w:rsidRPr="000467FD">
              <w:rPr>
                <w:rFonts w:ascii="Arial" w:hAnsi="Arial" w:cs="Arial"/>
                <w:sz w:val="22"/>
                <w:szCs w:val="22"/>
              </w:rPr>
              <w:t>Advice to purchase a complete multivitamin and mineral supplement</w:t>
            </w:r>
          </w:p>
          <w:p w:rsidR="00017859" w:rsidRPr="000467FD" w:rsidRDefault="00017859" w:rsidP="00017859">
            <w:pPr>
              <w:pStyle w:val="ListParagraph"/>
              <w:numPr>
                <w:ilvl w:val="2"/>
                <w:numId w:val="39"/>
              </w:numPr>
              <w:jc w:val="both"/>
              <w:rPr>
                <w:rFonts w:ascii="Arial" w:hAnsi="Arial" w:cs="Arial"/>
                <w:sz w:val="22"/>
                <w:szCs w:val="22"/>
              </w:rPr>
            </w:pPr>
            <w:r w:rsidRPr="000467FD">
              <w:rPr>
                <w:rFonts w:ascii="Arial" w:hAnsi="Arial" w:cs="Arial"/>
                <w:sz w:val="22"/>
                <w:szCs w:val="22"/>
              </w:rPr>
              <w:t>Prescribing/advice to purchase other nutritional supplements where considered necessary.</w:t>
            </w:r>
          </w:p>
          <w:p w:rsidR="00017859" w:rsidRPr="000467FD" w:rsidRDefault="00017859" w:rsidP="00017859">
            <w:pPr>
              <w:pStyle w:val="ListParagraph"/>
              <w:numPr>
                <w:ilvl w:val="1"/>
                <w:numId w:val="39"/>
              </w:numPr>
              <w:jc w:val="both"/>
              <w:rPr>
                <w:rFonts w:ascii="Arial" w:hAnsi="Arial" w:cs="Arial"/>
                <w:sz w:val="22"/>
                <w:szCs w:val="22"/>
              </w:rPr>
            </w:pPr>
            <w:r w:rsidRPr="000467FD">
              <w:rPr>
                <w:rFonts w:ascii="Arial" w:hAnsi="Arial" w:cs="Arial"/>
                <w:sz w:val="22"/>
                <w:szCs w:val="22"/>
              </w:rPr>
              <w:t>Gastric Band</w:t>
            </w:r>
          </w:p>
          <w:p w:rsidR="00017859" w:rsidRPr="000467FD" w:rsidRDefault="00017859" w:rsidP="00017859">
            <w:pPr>
              <w:pStyle w:val="ListParagraph"/>
              <w:numPr>
                <w:ilvl w:val="2"/>
                <w:numId w:val="39"/>
              </w:numPr>
              <w:jc w:val="both"/>
              <w:rPr>
                <w:rFonts w:ascii="Arial" w:hAnsi="Arial" w:cs="Arial"/>
                <w:sz w:val="22"/>
                <w:szCs w:val="22"/>
              </w:rPr>
            </w:pPr>
            <w:r w:rsidRPr="000467FD">
              <w:rPr>
                <w:rFonts w:ascii="Arial" w:hAnsi="Arial" w:cs="Arial"/>
                <w:sz w:val="22"/>
                <w:szCs w:val="22"/>
              </w:rPr>
              <w:t>Advice to purchase a complete multivitamin and mineral supplement</w:t>
            </w:r>
          </w:p>
          <w:p w:rsidR="00013A4D" w:rsidRPr="000467FD" w:rsidRDefault="00013A4D" w:rsidP="00013A4D">
            <w:pPr>
              <w:pStyle w:val="ListParagraph"/>
              <w:ind w:left="1440"/>
              <w:jc w:val="both"/>
              <w:rPr>
                <w:rFonts w:ascii="Arial" w:hAnsi="Arial" w:cs="Arial"/>
                <w:sz w:val="22"/>
                <w:szCs w:val="22"/>
              </w:rPr>
            </w:pPr>
          </w:p>
          <w:p w:rsidR="009E6CA8" w:rsidRPr="00707866" w:rsidRDefault="00013A4D" w:rsidP="00013A4D">
            <w:pPr>
              <w:jc w:val="both"/>
              <w:rPr>
                <w:rFonts w:ascii="Arial" w:hAnsi="Arial" w:cs="Arial"/>
                <w:sz w:val="22"/>
                <w:szCs w:val="22"/>
              </w:rPr>
            </w:pPr>
            <w:r w:rsidRPr="000467FD">
              <w:rPr>
                <w:rFonts w:ascii="Arial" w:hAnsi="Arial" w:cs="Arial"/>
                <w:sz w:val="22"/>
                <w:szCs w:val="22"/>
              </w:rPr>
              <w:t>Practices are required to ensure that patients have access to appropriate p</w:t>
            </w:r>
            <w:r w:rsidR="009E6CA8" w:rsidRPr="000467FD">
              <w:rPr>
                <w:rFonts w:ascii="Arial" w:hAnsi="Arial" w:cs="Arial"/>
                <w:sz w:val="22"/>
                <w:szCs w:val="22"/>
              </w:rPr>
              <w:t>hysiological support tailored to the individual</w:t>
            </w:r>
          </w:p>
          <w:p w:rsidR="00926DA3" w:rsidRPr="00C53BE6" w:rsidRDefault="00926DA3" w:rsidP="00C53BE6">
            <w:pPr>
              <w:spacing w:after="0"/>
              <w:jc w:val="both"/>
              <w:rPr>
                <w:rFonts w:ascii="Arial" w:hAnsi="Arial" w:cs="Arial"/>
                <w:b/>
                <w:sz w:val="20"/>
              </w:rPr>
            </w:pPr>
            <w:r w:rsidRPr="00C53BE6">
              <w:rPr>
                <w:rFonts w:ascii="Arial" w:hAnsi="Arial" w:cs="Arial"/>
                <w:b/>
                <w:sz w:val="20"/>
              </w:rPr>
              <w:t>3.3</w:t>
            </w:r>
            <w:r w:rsidRPr="00C53BE6">
              <w:rPr>
                <w:rFonts w:ascii="Arial" w:hAnsi="Arial" w:cs="Arial"/>
                <w:b/>
                <w:sz w:val="20"/>
              </w:rPr>
              <w:tab/>
            </w:r>
            <w:r w:rsidRPr="002B0C92">
              <w:rPr>
                <w:rFonts w:ascii="Arial" w:hAnsi="Arial" w:cs="Arial"/>
                <w:b/>
                <w:sz w:val="22"/>
                <w:szCs w:val="22"/>
              </w:rPr>
              <w:t>Population covered</w:t>
            </w:r>
          </w:p>
          <w:p w:rsidR="00103823" w:rsidRDefault="00103823" w:rsidP="00C53BE6">
            <w:pPr>
              <w:spacing w:after="0"/>
              <w:jc w:val="both"/>
              <w:rPr>
                <w:rFonts w:ascii="Arial" w:hAnsi="Arial" w:cs="Arial"/>
                <w:b/>
                <w:color w:val="009966"/>
                <w:sz w:val="20"/>
              </w:rPr>
            </w:pPr>
          </w:p>
          <w:p w:rsidR="00103823" w:rsidRPr="00707866" w:rsidRDefault="00C53BE6" w:rsidP="00C53BE6">
            <w:pPr>
              <w:spacing w:after="0"/>
              <w:jc w:val="both"/>
              <w:rPr>
                <w:rFonts w:ascii="Arial" w:hAnsi="Arial" w:cs="Arial"/>
                <w:sz w:val="22"/>
                <w:szCs w:val="22"/>
              </w:rPr>
            </w:pPr>
            <w:r w:rsidRPr="00707866">
              <w:rPr>
                <w:rFonts w:ascii="Arial" w:hAnsi="Arial" w:cs="Arial"/>
                <w:sz w:val="22"/>
                <w:szCs w:val="22"/>
              </w:rPr>
              <w:t xml:space="preserve">Patients </w:t>
            </w:r>
            <w:r w:rsidR="00013A4D" w:rsidRPr="00707866">
              <w:rPr>
                <w:rFonts w:ascii="Arial" w:hAnsi="Arial" w:cs="Arial"/>
                <w:sz w:val="22"/>
                <w:szCs w:val="22"/>
              </w:rPr>
              <w:t xml:space="preserve">registered with a </w:t>
            </w:r>
            <w:r w:rsidRPr="00707866">
              <w:rPr>
                <w:rFonts w:ascii="Arial" w:hAnsi="Arial" w:cs="Arial"/>
                <w:sz w:val="22"/>
                <w:szCs w:val="22"/>
              </w:rPr>
              <w:t>Telford and Wrekin GP p</w:t>
            </w:r>
            <w:r w:rsidR="00103823" w:rsidRPr="00707866">
              <w:rPr>
                <w:rFonts w:ascii="Arial" w:hAnsi="Arial" w:cs="Arial"/>
                <w:sz w:val="22"/>
                <w:szCs w:val="22"/>
              </w:rPr>
              <w:t>ractice</w:t>
            </w:r>
            <w:r w:rsidR="00B93EE3" w:rsidRPr="00707866">
              <w:rPr>
                <w:rFonts w:ascii="Arial" w:hAnsi="Arial" w:cs="Arial"/>
                <w:sz w:val="22"/>
                <w:szCs w:val="22"/>
              </w:rPr>
              <w:t xml:space="preserve"> (including</w:t>
            </w:r>
            <w:r w:rsidR="00103823" w:rsidRPr="00707866">
              <w:rPr>
                <w:rFonts w:ascii="Arial" w:hAnsi="Arial" w:cs="Arial"/>
                <w:sz w:val="22"/>
                <w:szCs w:val="22"/>
              </w:rPr>
              <w:t xml:space="preserve"> temporary residents</w:t>
            </w:r>
            <w:r w:rsidR="00B93EE3" w:rsidRPr="00707866">
              <w:rPr>
                <w:rFonts w:ascii="Arial" w:hAnsi="Arial" w:cs="Arial"/>
                <w:sz w:val="22"/>
                <w:szCs w:val="22"/>
              </w:rPr>
              <w:t>) who met the NHS criteria for bariatric surgery and have undergone bariatric surgery</w:t>
            </w:r>
            <w:r w:rsidR="00103823" w:rsidRPr="00707866">
              <w:rPr>
                <w:rFonts w:ascii="Arial" w:hAnsi="Arial" w:cs="Arial"/>
                <w:sz w:val="22"/>
                <w:szCs w:val="22"/>
              </w:rPr>
              <w:t xml:space="preserve"> </w:t>
            </w:r>
          </w:p>
          <w:p w:rsidR="00A656C7" w:rsidRPr="00C115A9" w:rsidRDefault="00A656C7" w:rsidP="00C53BE6">
            <w:pPr>
              <w:spacing w:after="0"/>
              <w:jc w:val="both"/>
              <w:rPr>
                <w:rFonts w:ascii="Arial" w:hAnsi="Arial" w:cs="Arial"/>
                <w:b/>
                <w:color w:val="009966"/>
                <w:sz w:val="20"/>
              </w:rPr>
            </w:pPr>
          </w:p>
          <w:p w:rsidR="00926DA3" w:rsidRPr="002B0C92" w:rsidRDefault="00926DA3" w:rsidP="00C53BE6">
            <w:pPr>
              <w:spacing w:after="0"/>
              <w:jc w:val="both"/>
              <w:rPr>
                <w:rFonts w:ascii="Arial" w:hAnsi="Arial" w:cs="Arial"/>
                <w:b/>
                <w:sz w:val="22"/>
                <w:szCs w:val="22"/>
              </w:rPr>
            </w:pPr>
            <w:r w:rsidRPr="00C53BE6">
              <w:rPr>
                <w:rFonts w:ascii="Arial" w:hAnsi="Arial" w:cs="Arial"/>
                <w:b/>
                <w:sz w:val="20"/>
              </w:rPr>
              <w:t>3.4</w:t>
            </w:r>
            <w:r w:rsidRPr="00C53BE6">
              <w:rPr>
                <w:rFonts w:ascii="Arial" w:hAnsi="Arial" w:cs="Arial"/>
                <w:b/>
                <w:sz w:val="20"/>
              </w:rPr>
              <w:tab/>
            </w:r>
            <w:r w:rsidRPr="002B0C92">
              <w:rPr>
                <w:rFonts w:ascii="Arial" w:hAnsi="Arial" w:cs="Arial"/>
                <w:b/>
                <w:sz w:val="22"/>
                <w:szCs w:val="22"/>
              </w:rPr>
              <w:t>Any acceptance and exclusion criteria and thresholds</w:t>
            </w:r>
          </w:p>
          <w:p w:rsidR="00A656C7" w:rsidRPr="00C115A9" w:rsidRDefault="00A656C7" w:rsidP="00C53BE6">
            <w:pPr>
              <w:spacing w:after="0"/>
              <w:jc w:val="both"/>
              <w:rPr>
                <w:rFonts w:ascii="Arial" w:hAnsi="Arial" w:cs="Arial"/>
                <w:b/>
                <w:color w:val="009966"/>
                <w:sz w:val="20"/>
              </w:rPr>
            </w:pPr>
          </w:p>
          <w:p w:rsidR="00095E56" w:rsidRDefault="00B93EE3" w:rsidP="00B93EE3">
            <w:pPr>
              <w:spacing w:after="0"/>
              <w:jc w:val="both"/>
              <w:rPr>
                <w:rFonts w:ascii="Arial" w:hAnsi="Arial" w:cs="Arial"/>
                <w:sz w:val="22"/>
                <w:szCs w:val="22"/>
              </w:rPr>
            </w:pPr>
            <w:r w:rsidRPr="00707866">
              <w:rPr>
                <w:rFonts w:ascii="Arial" w:hAnsi="Arial" w:cs="Arial"/>
                <w:sz w:val="22"/>
                <w:szCs w:val="22"/>
              </w:rPr>
              <w:t xml:space="preserve">Patients who have undergone bariatric surgery on a private basis (either in the UK or abroad) should </w:t>
            </w:r>
            <w:r w:rsidR="00017859" w:rsidRPr="00707866">
              <w:rPr>
                <w:rFonts w:ascii="Arial" w:hAnsi="Arial" w:cs="Arial"/>
                <w:sz w:val="22"/>
                <w:szCs w:val="22"/>
              </w:rPr>
              <w:t xml:space="preserve">be encouraged to </w:t>
            </w:r>
            <w:r w:rsidRPr="00707866">
              <w:rPr>
                <w:rFonts w:ascii="Arial" w:hAnsi="Arial" w:cs="Arial"/>
                <w:sz w:val="22"/>
                <w:szCs w:val="22"/>
              </w:rPr>
              <w:t xml:space="preserve">access on-going care privately.  </w:t>
            </w:r>
            <w:r w:rsidR="00017859" w:rsidRPr="00707866">
              <w:rPr>
                <w:rFonts w:ascii="Arial" w:hAnsi="Arial" w:cs="Arial"/>
                <w:sz w:val="22"/>
                <w:szCs w:val="22"/>
              </w:rPr>
              <w:t xml:space="preserve">However, where a </w:t>
            </w:r>
            <w:r w:rsidRPr="00707866">
              <w:rPr>
                <w:rFonts w:ascii="Arial" w:hAnsi="Arial" w:cs="Arial"/>
                <w:sz w:val="22"/>
                <w:szCs w:val="22"/>
              </w:rPr>
              <w:t xml:space="preserve">patient wishes to return to NHS care, </w:t>
            </w:r>
            <w:r w:rsidR="00017859" w:rsidRPr="00707866">
              <w:rPr>
                <w:rFonts w:ascii="Arial" w:hAnsi="Arial" w:cs="Arial"/>
                <w:sz w:val="22"/>
                <w:szCs w:val="22"/>
              </w:rPr>
              <w:t>the patient will have clinical needs, irrespective of whether or not they met the NHS criteria for bariatric surgery prior to undergoing surgery</w:t>
            </w:r>
            <w:r w:rsidR="003321FD" w:rsidRPr="00707866">
              <w:rPr>
                <w:rFonts w:ascii="Arial" w:hAnsi="Arial" w:cs="Arial"/>
                <w:sz w:val="22"/>
                <w:szCs w:val="22"/>
              </w:rPr>
              <w:t>.  P</w:t>
            </w:r>
            <w:r w:rsidR="00095E56" w:rsidRPr="00707866">
              <w:rPr>
                <w:rFonts w:ascii="Arial" w:hAnsi="Arial" w:cs="Arial"/>
                <w:sz w:val="22"/>
                <w:szCs w:val="22"/>
              </w:rPr>
              <w:t xml:space="preserve">rimary care is expected to meet the patient’s requirements </w:t>
            </w:r>
            <w:r w:rsidR="003321FD" w:rsidRPr="00707866">
              <w:rPr>
                <w:rFonts w:ascii="Arial" w:hAnsi="Arial" w:cs="Arial"/>
                <w:sz w:val="22"/>
                <w:szCs w:val="22"/>
              </w:rPr>
              <w:t xml:space="preserve">(prescribing and blood monitoring) </w:t>
            </w:r>
            <w:r w:rsidR="00095E56" w:rsidRPr="00707866">
              <w:rPr>
                <w:rFonts w:ascii="Arial" w:hAnsi="Arial" w:cs="Arial"/>
                <w:sz w:val="22"/>
                <w:szCs w:val="22"/>
              </w:rPr>
              <w:t>under this locally commissioned service.</w:t>
            </w:r>
            <w:r w:rsidR="003321FD" w:rsidRPr="00707866">
              <w:rPr>
                <w:rFonts w:ascii="Arial" w:hAnsi="Arial" w:cs="Arial"/>
                <w:sz w:val="22"/>
                <w:szCs w:val="22"/>
              </w:rPr>
              <w:t xml:space="preserve">  Blood monitoring is carried out for two years post-surgery for patients who have undergone bariatric surgery through the NHS, this responsibility may need to be accepted by the GP where a patient no longer has access to their private clinician (e.g. where surgery was carried out abroad). Where there are questions about</w:t>
            </w:r>
            <w:r w:rsidR="003321FD">
              <w:rPr>
                <w:rFonts w:ascii="Arial" w:hAnsi="Arial" w:cs="Arial"/>
                <w:sz w:val="20"/>
              </w:rPr>
              <w:t xml:space="preserve"> </w:t>
            </w:r>
            <w:r w:rsidR="003321FD" w:rsidRPr="00707866">
              <w:rPr>
                <w:rFonts w:ascii="Arial" w:hAnsi="Arial" w:cs="Arial"/>
                <w:sz w:val="22"/>
                <w:szCs w:val="22"/>
              </w:rPr>
              <w:t xml:space="preserve">managing an individual patient’s blood results </w:t>
            </w:r>
            <w:proofErr w:type="spellStart"/>
            <w:r w:rsidR="003321FD" w:rsidRPr="00707866">
              <w:rPr>
                <w:rFonts w:ascii="Arial" w:hAnsi="Arial" w:cs="Arial"/>
                <w:sz w:val="22"/>
                <w:szCs w:val="22"/>
              </w:rPr>
              <w:t>etc</w:t>
            </w:r>
            <w:proofErr w:type="spellEnd"/>
            <w:r w:rsidR="003321FD" w:rsidRPr="00707866">
              <w:rPr>
                <w:rFonts w:ascii="Arial" w:hAnsi="Arial" w:cs="Arial"/>
                <w:sz w:val="22"/>
                <w:szCs w:val="22"/>
              </w:rPr>
              <w:t xml:space="preserve">, ‘Advice and guidance’ should be used to obtain specialist support. </w:t>
            </w:r>
          </w:p>
          <w:p w:rsidR="002B0C92" w:rsidRPr="00707866" w:rsidRDefault="002B0C92" w:rsidP="00B93EE3">
            <w:pPr>
              <w:spacing w:after="0"/>
              <w:jc w:val="both"/>
              <w:rPr>
                <w:rFonts w:ascii="Arial" w:hAnsi="Arial" w:cs="Arial"/>
                <w:sz w:val="22"/>
                <w:szCs w:val="22"/>
              </w:rPr>
            </w:pPr>
          </w:p>
          <w:p w:rsidR="00926DA3" w:rsidRPr="002B0C92" w:rsidRDefault="00926DA3" w:rsidP="00C53BE6">
            <w:pPr>
              <w:spacing w:after="0"/>
              <w:jc w:val="both"/>
              <w:rPr>
                <w:rFonts w:ascii="Arial" w:hAnsi="Arial" w:cs="Arial"/>
                <w:b/>
                <w:sz w:val="22"/>
                <w:szCs w:val="22"/>
              </w:rPr>
            </w:pPr>
            <w:r w:rsidRPr="00C53BE6">
              <w:rPr>
                <w:rFonts w:ascii="Arial" w:hAnsi="Arial" w:cs="Arial"/>
                <w:b/>
                <w:sz w:val="20"/>
              </w:rPr>
              <w:t>3.5</w:t>
            </w:r>
            <w:r w:rsidRPr="00C53BE6">
              <w:rPr>
                <w:rFonts w:ascii="Arial" w:hAnsi="Arial" w:cs="Arial"/>
                <w:b/>
                <w:sz w:val="20"/>
              </w:rPr>
              <w:tab/>
            </w:r>
            <w:r w:rsidRPr="002B0C92">
              <w:rPr>
                <w:rFonts w:ascii="Arial" w:hAnsi="Arial" w:cs="Arial"/>
                <w:b/>
                <w:sz w:val="22"/>
                <w:szCs w:val="22"/>
              </w:rPr>
              <w:t>Interdependence with other services/providers</w:t>
            </w:r>
          </w:p>
          <w:p w:rsidR="00210609" w:rsidRDefault="00210609" w:rsidP="00C53BE6">
            <w:pPr>
              <w:spacing w:after="0"/>
              <w:jc w:val="both"/>
              <w:rPr>
                <w:rFonts w:ascii="Arial" w:hAnsi="Arial" w:cs="Arial"/>
                <w:b/>
                <w:color w:val="009966"/>
                <w:sz w:val="20"/>
              </w:rPr>
            </w:pPr>
          </w:p>
          <w:p w:rsidR="00103823" w:rsidRPr="00707866" w:rsidRDefault="00210609" w:rsidP="00EE5FA8">
            <w:pPr>
              <w:pStyle w:val="ListParagraph"/>
              <w:numPr>
                <w:ilvl w:val="0"/>
                <w:numId w:val="39"/>
              </w:numPr>
              <w:jc w:val="both"/>
              <w:rPr>
                <w:rFonts w:ascii="Arial" w:hAnsi="Arial" w:cs="Arial"/>
                <w:sz w:val="22"/>
                <w:szCs w:val="22"/>
              </w:rPr>
            </w:pPr>
            <w:r w:rsidRPr="00707866">
              <w:rPr>
                <w:rFonts w:ascii="Arial" w:hAnsi="Arial" w:cs="Arial"/>
                <w:sz w:val="22"/>
                <w:szCs w:val="22"/>
              </w:rPr>
              <w:t>Community Nursing Service</w:t>
            </w:r>
          </w:p>
          <w:p w:rsidR="00C53BE6" w:rsidRPr="00707866" w:rsidRDefault="00C53BE6" w:rsidP="00EE5FA8">
            <w:pPr>
              <w:pStyle w:val="ListParagraph"/>
              <w:numPr>
                <w:ilvl w:val="0"/>
                <w:numId w:val="39"/>
              </w:numPr>
              <w:jc w:val="both"/>
              <w:rPr>
                <w:rFonts w:ascii="Arial" w:hAnsi="Arial" w:cs="Arial"/>
                <w:sz w:val="22"/>
                <w:szCs w:val="22"/>
              </w:rPr>
            </w:pPr>
            <w:r w:rsidRPr="00707866">
              <w:rPr>
                <w:rFonts w:ascii="Arial" w:hAnsi="Arial" w:cs="Arial"/>
                <w:sz w:val="22"/>
                <w:szCs w:val="22"/>
              </w:rPr>
              <w:t>Nutrition Service (Dieticians)</w:t>
            </w:r>
          </w:p>
          <w:p w:rsidR="00C53BE6" w:rsidRPr="00707866" w:rsidRDefault="00C53BE6" w:rsidP="00EE5FA8">
            <w:pPr>
              <w:pStyle w:val="ListParagraph"/>
              <w:numPr>
                <w:ilvl w:val="0"/>
                <w:numId w:val="39"/>
              </w:numPr>
              <w:jc w:val="both"/>
              <w:rPr>
                <w:rFonts w:ascii="Arial" w:hAnsi="Arial" w:cs="Arial"/>
                <w:sz w:val="22"/>
                <w:szCs w:val="22"/>
              </w:rPr>
            </w:pPr>
            <w:r w:rsidRPr="00707866">
              <w:rPr>
                <w:rFonts w:ascii="Arial" w:hAnsi="Arial" w:cs="Arial"/>
                <w:sz w:val="22"/>
                <w:szCs w:val="22"/>
              </w:rPr>
              <w:t>Medicines Management</w:t>
            </w:r>
          </w:p>
          <w:p w:rsidR="00F37ABD" w:rsidRPr="00707866" w:rsidRDefault="00103823" w:rsidP="00EE5FA8">
            <w:pPr>
              <w:pStyle w:val="ListParagraph"/>
              <w:numPr>
                <w:ilvl w:val="0"/>
                <w:numId w:val="39"/>
              </w:numPr>
              <w:jc w:val="both"/>
              <w:rPr>
                <w:rFonts w:ascii="Arial" w:hAnsi="Arial" w:cs="Arial"/>
                <w:sz w:val="22"/>
                <w:szCs w:val="22"/>
              </w:rPr>
            </w:pPr>
            <w:r w:rsidRPr="00707866">
              <w:rPr>
                <w:rFonts w:ascii="Arial" w:hAnsi="Arial" w:cs="Arial"/>
                <w:sz w:val="22"/>
                <w:szCs w:val="22"/>
              </w:rPr>
              <w:t>Secondary Care</w:t>
            </w:r>
          </w:p>
          <w:p w:rsidR="00926DA3" w:rsidRPr="00C115A9" w:rsidRDefault="00F37ABD" w:rsidP="00961D64">
            <w:pPr>
              <w:pStyle w:val="ListParagraph"/>
              <w:numPr>
                <w:ilvl w:val="0"/>
                <w:numId w:val="39"/>
              </w:numPr>
              <w:jc w:val="both"/>
              <w:rPr>
                <w:rFonts w:ascii="Arial" w:hAnsi="Arial" w:cs="Arial"/>
                <w:sz w:val="20"/>
              </w:rPr>
            </w:pPr>
            <w:r w:rsidRPr="00707866">
              <w:rPr>
                <w:rFonts w:ascii="Arial" w:hAnsi="Arial" w:cs="Arial"/>
                <w:sz w:val="22"/>
                <w:szCs w:val="22"/>
              </w:rPr>
              <w:t>Telford and Wrekin Local Authority Healthy Lifestyle Advisers</w:t>
            </w:r>
            <w:r w:rsidR="00C74F62" w:rsidRPr="00707866">
              <w:rPr>
                <w:rFonts w:ascii="Arial" w:hAnsi="Arial" w:cs="Arial"/>
                <w:sz w:val="22"/>
                <w:szCs w:val="22"/>
              </w:rPr>
              <w:tab/>
              <w:t xml:space="preserve"> </w:t>
            </w:r>
          </w:p>
        </w:tc>
      </w:tr>
    </w:tbl>
    <w:p w:rsidR="002B0C92" w:rsidRDefault="002B0C92">
      <w:r>
        <w:lastRenderedPageBreak/>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159"/>
      </w:tblGrid>
      <w:tr w:rsidR="00926DA3" w:rsidRPr="00C115A9" w:rsidTr="00707866">
        <w:trPr>
          <w:trHeight w:val="64"/>
        </w:trPr>
        <w:tc>
          <w:tcPr>
            <w:tcW w:w="9159" w:type="dxa"/>
            <w:shd w:val="clear" w:color="auto" w:fill="595959"/>
          </w:tcPr>
          <w:p w:rsidR="00926DA3" w:rsidRPr="00C115A9" w:rsidRDefault="00926DA3" w:rsidP="003A3A05">
            <w:pPr>
              <w:spacing w:after="0" w:line="276" w:lineRule="auto"/>
              <w:rPr>
                <w:rFonts w:ascii="Arial" w:hAnsi="Arial" w:cs="Arial"/>
                <w:b/>
                <w:color w:val="F79646"/>
                <w:sz w:val="20"/>
              </w:rPr>
            </w:pPr>
            <w:r w:rsidRPr="00C115A9">
              <w:rPr>
                <w:rFonts w:ascii="Arial" w:hAnsi="Arial" w:cs="Arial"/>
                <w:b/>
                <w:color w:val="F79646"/>
                <w:sz w:val="20"/>
              </w:rPr>
              <w:lastRenderedPageBreak/>
              <w:t>4.</w:t>
            </w:r>
            <w:r w:rsidRPr="00C115A9">
              <w:rPr>
                <w:rFonts w:ascii="Arial" w:hAnsi="Arial" w:cs="Arial"/>
                <w:b/>
                <w:color w:val="F79646"/>
                <w:sz w:val="20"/>
              </w:rPr>
              <w:tab/>
            </w:r>
            <w:r w:rsidRPr="007A5435">
              <w:rPr>
                <w:rFonts w:ascii="Arial" w:hAnsi="Arial" w:cs="Arial"/>
                <w:b/>
                <w:color w:val="F79646"/>
                <w:sz w:val="22"/>
                <w:szCs w:val="22"/>
              </w:rPr>
              <w:t>Applicable Service Standards</w:t>
            </w:r>
          </w:p>
        </w:tc>
      </w:tr>
      <w:tr w:rsidR="00926DA3" w:rsidRPr="00C115A9" w:rsidTr="00707866">
        <w:trPr>
          <w:trHeight w:val="1322"/>
        </w:trPr>
        <w:tc>
          <w:tcPr>
            <w:tcW w:w="9159" w:type="dxa"/>
            <w:shd w:val="clear" w:color="auto" w:fill="auto"/>
          </w:tcPr>
          <w:p w:rsidR="00926DA3" w:rsidRPr="002B0C92" w:rsidRDefault="00926DA3" w:rsidP="003A3A05">
            <w:pPr>
              <w:spacing w:after="0"/>
              <w:rPr>
                <w:rFonts w:ascii="Arial" w:hAnsi="Arial" w:cs="Arial"/>
                <w:sz w:val="22"/>
                <w:szCs w:val="22"/>
              </w:rPr>
            </w:pPr>
          </w:p>
          <w:p w:rsidR="00926DA3" w:rsidRPr="002B0C92" w:rsidRDefault="00926DA3" w:rsidP="003A3A05">
            <w:pPr>
              <w:spacing w:after="0"/>
              <w:rPr>
                <w:rFonts w:ascii="Arial" w:hAnsi="Arial" w:cs="Arial"/>
                <w:b/>
                <w:color w:val="009966"/>
                <w:sz w:val="22"/>
                <w:szCs w:val="22"/>
              </w:rPr>
            </w:pPr>
            <w:r w:rsidRPr="002B0C92">
              <w:rPr>
                <w:rFonts w:ascii="Arial" w:hAnsi="Arial" w:cs="Arial"/>
                <w:b/>
                <w:sz w:val="22"/>
                <w:szCs w:val="22"/>
              </w:rPr>
              <w:t>4.1</w:t>
            </w:r>
            <w:r w:rsidR="00103823" w:rsidRPr="002B0C92">
              <w:rPr>
                <w:rFonts w:ascii="Arial" w:hAnsi="Arial" w:cs="Arial"/>
                <w:b/>
                <w:sz w:val="22"/>
                <w:szCs w:val="22"/>
              </w:rPr>
              <w:tab/>
              <w:t xml:space="preserve">Applicable national standards </w:t>
            </w:r>
          </w:p>
          <w:p w:rsidR="00C53BE6" w:rsidRPr="002B0C92" w:rsidRDefault="00C53BE6" w:rsidP="00C53BE6">
            <w:pPr>
              <w:spacing w:after="0"/>
              <w:rPr>
                <w:rFonts w:ascii="Arial" w:hAnsi="Arial" w:cs="Arial"/>
                <w:b/>
                <w:sz w:val="22"/>
                <w:szCs w:val="22"/>
              </w:rPr>
            </w:pPr>
          </w:p>
          <w:p w:rsidR="00C53BE6" w:rsidRPr="002B0C92" w:rsidRDefault="00C53BE6" w:rsidP="00C53BE6">
            <w:pPr>
              <w:spacing w:after="0"/>
              <w:rPr>
                <w:rFonts w:ascii="Arial" w:hAnsi="Arial" w:cs="Arial"/>
                <w:b/>
                <w:sz w:val="22"/>
                <w:szCs w:val="22"/>
                <w:u w:val="single"/>
              </w:rPr>
            </w:pPr>
            <w:r w:rsidRPr="002B0C92">
              <w:rPr>
                <w:rFonts w:ascii="Arial" w:hAnsi="Arial" w:cs="Arial"/>
                <w:b/>
                <w:sz w:val="22"/>
                <w:szCs w:val="22"/>
                <w:u w:val="single"/>
              </w:rPr>
              <w:t xml:space="preserve">Nutritional supplements  </w:t>
            </w:r>
          </w:p>
          <w:p w:rsidR="00C53BE6" w:rsidRPr="002B0C92" w:rsidRDefault="00C53BE6" w:rsidP="00C53BE6">
            <w:pPr>
              <w:spacing w:after="0"/>
              <w:rPr>
                <w:rFonts w:ascii="Arial" w:hAnsi="Arial" w:cs="Arial"/>
                <w:b/>
                <w:sz w:val="22"/>
                <w:szCs w:val="22"/>
              </w:rPr>
            </w:pPr>
          </w:p>
          <w:p w:rsidR="00F37ABD" w:rsidRPr="002B0C92" w:rsidRDefault="00F37ABD" w:rsidP="00C53BE6">
            <w:pPr>
              <w:spacing w:after="0"/>
              <w:rPr>
                <w:rFonts w:ascii="Arial" w:hAnsi="Arial" w:cs="Arial"/>
                <w:b/>
                <w:sz w:val="22"/>
                <w:szCs w:val="22"/>
              </w:rPr>
            </w:pPr>
            <w:r w:rsidRPr="002B0C92">
              <w:rPr>
                <w:rFonts w:ascii="Arial" w:hAnsi="Arial" w:cs="Arial"/>
                <w:b/>
                <w:sz w:val="22"/>
                <w:szCs w:val="22"/>
              </w:rPr>
              <w:t>Multivitamin and mineral supplements</w:t>
            </w:r>
          </w:p>
          <w:p w:rsidR="00C53BE6" w:rsidRPr="002B0C92" w:rsidRDefault="00C53BE6" w:rsidP="00C53BE6">
            <w:pPr>
              <w:spacing w:after="0"/>
              <w:rPr>
                <w:rFonts w:ascii="Arial" w:hAnsi="Arial" w:cs="Arial"/>
                <w:sz w:val="22"/>
                <w:szCs w:val="22"/>
              </w:rPr>
            </w:pPr>
            <w:r w:rsidRPr="002B0C92">
              <w:rPr>
                <w:rFonts w:ascii="Arial" w:hAnsi="Arial" w:cs="Arial"/>
                <w:b/>
                <w:sz w:val="22"/>
                <w:szCs w:val="22"/>
              </w:rPr>
              <w:t>After all types of bariatric surgeries</w:t>
            </w:r>
            <w:r w:rsidRPr="002B0C92">
              <w:rPr>
                <w:rFonts w:ascii="Arial" w:hAnsi="Arial" w:cs="Arial"/>
                <w:sz w:val="22"/>
                <w:szCs w:val="22"/>
              </w:rPr>
              <w:t xml:space="preserve">, patients will be </w:t>
            </w:r>
            <w:r w:rsidR="00F37ABD" w:rsidRPr="002B0C92">
              <w:rPr>
                <w:rFonts w:ascii="Arial" w:hAnsi="Arial" w:cs="Arial"/>
                <w:sz w:val="22"/>
                <w:szCs w:val="22"/>
              </w:rPr>
              <w:t xml:space="preserve">advised to purchase and take one of the recommended complete multivitamin and mineral supplements containing iron, selenium, zinc and copper (e.g. </w:t>
            </w:r>
            <w:proofErr w:type="spellStart"/>
            <w:r w:rsidR="00F37ABD" w:rsidRPr="002B0C92">
              <w:rPr>
                <w:rFonts w:ascii="Arial" w:hAnsi="Arial" w:cs="Arial"/>
                <w:sz w:val="22"/>
                <w:szCs w:val="22"/>
              </w:rPr>
              <w:t>Sanatogen</w:t>
            </w:r>
            <w:proofErr w:type="spellEnd"/>
            <w:r w:rsidR="00F37ABD" w:rsidRPr="002B0C92">
              <w:rPr>
                <w:rFonts w:ascii="Arial" w:hAnsi="Arial" w:cs="Arial"/>
                <w:sz w:val="22"/>
                <w:szCs w:val="22"/>
              </w:rPr>
              <w:t xml:space="preserve"> A-Z Complete, Superdrug A-Z multivitamins and minerals, Tesco Complete multivitamins and minerals, Lloyds Pharmacy A-Z multivitamins and minerals.  A minimum of 2mg of copper per day is recommended post-surgery, and as many over-the-counter preparations contain 1mg, patients will be advised to take two tablets daily (one tw</w:t>
            </w:r>
            <w:r w:rsidR="005742EB" w:rsidRPr="002B0C92">
              <w:rPr>
                <w:rFonts w:ascii="Arial" w:hAnsi="Arial" w:cs="Arial"/>
                <w:sz w:val="22"/>
                <w:szCs w:val="22"/>
              </w:rPr>
              <w:t>i</w:t>
            </w:r>
            <w:r w:rsidR="00F37ABD" w:rsidRPr="002B0C92">
              <w:rPr>
                <w:rFonts w:ascii="Arial" w:hAnsi="Arial" w:cs="Arial"/>
                <w:sz w:val="22"/>
                <w:szCs w:val="22"/>
              </w:rPr>
              <w:t>ce daily).  This is a lifelong requirement that should be reiterated to patients</w:t>
            </w:r>
            <w:r w:rsidR="00590A45" w:rsidRPr="002B0C92">
              <w:rPr>
                <w:rFonts w:ascii="Arial" w:hAnsi="Arial" w:cs="Arial"/>
                <w:sz w:val="22"/>
                <w:szCs w:val="22"/>
              </w:rPr>
              <w:t xml:space="preserve"> at all monitoring reviews.</w:t>
            </w:r>
          </w:p>
          <w:p w:rsidR="006465F9" w:rsidRPr="002B0C92" w:rsidRDefault="006465F9" w:rsidP="00C53BE6">
            <w:pPr>
              <w:spacing w:after="0"/>
              <w:rPr>
                <w:rFonts w:ascii="Arial" w:hAnsi="Arial" w:cs="Arial"/>
                <w:sz w:val="22"/>
                <w:szCs w:val="22"/>
              </w:rPr>
            </w:pPr>
          </w:p>
          <w:p w:rsidR="006465F9" w:rsidRPr="002B0C92" w:rsidRDefault="006465F9" w:rsidP="00C53BE6">
            <w:pPr>
              <w:spacing w:after="0"/>
              <w:rPr>
                <w:rFonts w:ascii="Arial" w:hAnsi="Arial" w:cs="Arial"/>
                <w:sz w:val="22"/>
                <w:szCs w:val="22"/>
              </w:rPr>
            </w:pPr>
            <w:r w:rsidRPr="002B0C92">
              <w:rPr>
                <w:rFonts w:ascii="Arial" w:hAnsi="Arial" w:cs="Arial"/>
                <w:sz w:val="22"/>
                <w:szCs w:val="22"/>
              </w:rPr>
              <w:t>Patients should be advised against taking additional vitamin and mineral supplements for their hair and nails as this can upset the balance for copper and zinc and cause deficiencies.</w:t>
            </w:r>
          </w:p>
          <w:p w:rsidR="00C53BE6" w:rsidRPr="002B0C92" w:rsidRDefault="00C53BE6" w:rsidP="00C53BE6">
            <w:pPr>
              <w:spacing w:after="0"/>
              <w:rPr>
                <w:rFonts w:ascii="Arial" w:hAnsi="Arial" w:cs="Arial"/>
                <w:sz w:val="22"/>
                <w:szCs w:val="22"/>
              </w:rPr>
            </w:pPr>
          </w:p>
          <w:p w:rsidR="00F37ABD" w:rsidRPr="002B0C92" w:rsidRDefault="00F37ABD" w:rsidP="00C53BE6">
            <w:pPr>
              <w:spacing w:after="0"/>
              <w:rPr>
                <w:rFonts w:ascii="Arial" w:hAnsi="Arial" w:cs="Arial"/>
                <w:b/>
                <w:sz w:val="22"/>
                <w:szCs w:val="22"/>
              </w:rPr>
            </w:pPr>
            <w:r w:rsidRPr="002B0C92">
              <w:rPr>
                <w:rFonts w:ascii="Arial" w:hAnsi="Arial" w:cs="Arial"/>
                <w:b/>
                <w:sz w:val="22"/>
                <w:szCs w:val="22"/>
              </w:rPr>
              <w:t>Calcium and vitamin D</w:t>
            </w:r>
          </w:p>
          <w:p w:rsidR="00590A45" w:rsidRPr="002B0C92" w:rsidRDefault="00095E56" w:rsidP="00C53BE6">
            <w:pPr>
              <w:spacing w:after="0"/>
              <w:rPr>
                <w:rFonts w:ascii="Arial" w:hAnsi="Arial" w:cs="Arial"/>
                <w:sz w:val="22"/>
                <w:szCs w:val="22"/>
              </w:rPr>
            </w:pPr>
            <w:r w:rsidRPr="002B0C92">
              <w:rPr>
                <w:rFonts w:ascii="Arial" w:hAnsi="Arial" w:cs="Arial"/>
                <w:b/>
                <w:sz w:val="22"/>
                <w:szCs w:val="22"/>
              </w:rPr>
              <w:t>For patients who have had sleeve gastrectomy or gastric bypass</w:t>
            </w:r>
            <w:r w:rsidRPr="002B0C92">
              <w:rPr>
                <w:rFonts w:ascii="Arial" w:hAnsi="Arial" w:cs="Arial"/>
                <w:sz w:val="22"/>
                <w:szCs w:val="22"/>
              </w:rPr>
              <w:t xml:space="preserve">: </w:t>
            </w:r>
            <w:r w:rsidR="00F37ABD" w:rsidRPr="002B0C92">
              <w:rPr>
                <w:rFonts w:ascii="Arial" w:hAnsi="Arial" w:cs="Arial"/>
                <w:sz w:val="22"/>
                <w:szCs w:val="22"/>
              </w:rPr>
              <w:t xml:space="preserve">A calcium and vitamin D combination product providing a total daily dose of 800-1200 mg calcium and 20mcg (800IU) vitamin D should be prescribed.  The CCG recommended products include </w:t>
            </w:r>
            <w:proofErr w:type="spellStart"/>
            <w:r w:rsidR="00F37ABD" w:rsidRPr="002B0C92">
              <w:rPr>
                <w:rFonts w:ascii="Arial" w:hAnsi="Arial" w:cs="Arial"/>
                <w:sz w:val="22"/>
                <w:szCs w:val="22"/>
              </w:rPr>
              <w:t>Adcal</w:t>
            </w:r>
            <w:proofErr w:type="spellEnd"/>
            <w:r w:rsidR="00F37ABD" w:rsidRPr="002B0C92">
              <w:rPr>
                <w:rFonts w:ascii="Arial" w:hAnsi="Arial" w:cs="Arial"/>
                <w:sz w:val="22"/>
                <w:szCs w:val="22"/>
              </w:rPr>
              <w:t xml:space="preserve"> D3 chewable tablets, </w:t>
            </w:r>
            <w:proofErr w:type="spellStart"/>
            <w:r w:rsidR="00F37ABD" w:rsidRPr="002B0C92">
              <w:rPr>
                <w:rFonts w:ascii="Arial" w:hAnsi="Arial" w:cs="Arial"/>
                <w:sz w:val="22"/>
                <w:szCs w:val="22"/>
              </w:rPr>
              <w:t>Calceos</w:t>
            </w:r>
            <w:proofErr w:type="spellEnd"/>
            <w:r w:rsidR="00F37ABD" w:rsidRPr="002B0C92">
              <w:rPr>
                <w:rFonts w:ascii="Arial" w:hAnsi="Arial" w:cs="Arial"/>
                <w:sz w:val="22"/>
                <w:szCs w:val="22"/>
              </w:rPr>
              <w:t xml:space="preserve"> and Accrete D3.  The recommended dose = 1 twice daily unless PTH levels have been high in the past, in which case the patient may be prescribed a three times daily dose</w:t>
            </w:r>
            <w:r w:rsidR="00590A45" w:rsidRPr="002B0C92">
              <w:rPr>
                <w:rFonts w:ascii="Arial" w:hAnsi="Arial" w:cs="Arial"/>
                <w:sz w:val="22"/>
                <w:szCs w:val="22"/>
              </w:rPr>
              <w:t>.  Primary care will be advised to prescribe calcium and vitamin D following the 6 week post-surgery follow-up appointment.</w:t>
            </w:r>
          </w:p>
          <w:p w:rsidR="00590A45" w:rsidRPr="002B0C92" w:rsidRDefault="00590A45" w:rsidP="00C53BE6">
            <w:pPr>
              <w:spacing w:after="0"/>
              <w:rPr>
                <w:rFonts w:ascii="Arial" w:hAnsi="Arial" w:cs="Arial"/>
                <w:sz w:val="22"/>
                <w:szCs w:val="22"/>
              </w:rPr>
            </w:pPr>
          </w:p>
          <w:p w:rsidR="00590A45" w:rsidRPr="002B0C92" w:rsidRDefault="00590A45" w:rsidP="00C53BE6">
            <w:pPr>
              <w:spacing w:after="0"/>
              <w:rPr>
                <w:rFonts w:ascii="Arial" w:hAnsi="Arial" w:cs="Arial"/>
                <w:b/>
                <w:sz w:val="22"/>
                <w:szCs w:val="22"/>
              </w:rPr>
            </w:pPr>
            <w:r w:rsidRPr="002B0C92">
              <w:rPr>
                <w:rFonts w:ascii="Arial" w:hAnsi="Arial" w:cs="Arial"/>
                <w:b/>
                <w:sz w:val="22"/>
                <w:szCs w:val="22"/>
              </w:rPr>
              <w:t>Vitamin B12</w:t>
            </w:r>
          </w:p>
          <w:p w:rsidR="00590A45" w:rsidRPr="002B0C92" w:rsidRDefault="00095E56" w:rsidP="00C53BE6">
            <w:pPr>
              <w:spacing w:after="0"/>
              <w:rPr>
                <w:rFonts w:ascii="Arial" w:hAnsi="Arial" w:cs="Arial"/>
                <w:sz w:val="22"/>
                <w:szCs w:val="22"/>
              </w:rPr>
            </w:pPr>
            <w:r w:rsidRPr="002B0C92">
              <w:rPr>
                <w:rFonts w:ascii="Arial" w:hAnsi="Arial" w:cs="Arial"/>
                <w:b/>
                <w:sz w:val="22"/>
                <w:szCs w:val="22"/>
              </w:rPr>
              <w:t>For patients who have had sleeve gastrectomy or gastric bypass</w:t>
            </w:r>
            <w:r w:rsidRPr="002B0C92">
              <w:rPr>
                <w:rFonts w:ascii="Arial" w:hAnsi="Arial" w:cs="Arial"/>
                <w:sz w:val="22"/>
                <w:szCs w:val="22"/>
              </w:rPr>
              <w:t xml:space="preserve">: </w:t>
            </w:r>
            <w:r w:rsidR="00590A45" w:rsidRPr="002B0C92">
              <w:rPr>
                <w:rFonts w:ascii="Arial" w:hAnsi="Arial" w:cs="Arial"/>
                <w:sz w:val="22"/>
                <w:szCs w:val="22"/>
              </w:rPr>
              <w:t>Vitamin B12 injection should be administered once every 3 months.  Advi</w:t>
            </w:r>
            <w:r w:rsidR="00422EFC" w:rsidRPr="002B0C92">
              <w:rPr>
                <w:rFonts w:ascii="Arial" w:hAnsi="Arial" w:cs="Arial"/>
                <w:sz w:val="22"/>
                <w:szCs w:val="22"/>
              </w:rPr>
              <w:t>c</w:t>
            </w:r>
            <w:r w:rsidR="00590A45" w:rsidRPr="002B0C92">
              <w:rPr>
                <w:rFonts w:ascii="Arial" w:hAnsi="Arial" w:cs="Arial"/>
                <w:sz w:val="22"/>
                <w:szCs w:val="22"/>
              </w:rPr>
              <w:t>e on whether this is necessary will be provided by the specialist following the 6 week post-surgery follow-up appointment.</w:t>
            </w:r>
          </w:p>
          <w:p w:rsidR="00C53BE6" w:rsidRPr="002B0C92" w:rsidRDefault="00C53BE6" w:rsidP="00C53BE6">
            <w:pPr>
              <w:spacing w:after="0"/>
              <w:ind w:left="743" w:hanging="743"/>
              <w:rPr>
                <w:rFonts w:ascii="Arial" w:hAnsi="Arial" w:cs="Arial"/>
                <w:color w:val="009966"/>
                <w:sz w:val="22"/>
                <w:szCs w:val="22"/>
              </w:rPr>
            </w:pPr>
          </w:p>
          <w:p w:rsidR="00C53BE6" w:rsidRPr="002B0C92" w:rsidRDefault="00C53BE6" w:rsidP="00C53BE6">
            <w:pPr>
              <w:spacing w:after="0"/>
              <w:ind w:left="743" w:hanging="743"/>
              <w:rPr>
                <w:rFonts w:ascii="Arial" w:hAnsi="Arial" w:cs="Arial"/>
                <w:b/>
                <w:sz w:val="22"/>
                <w:szCs w:val="22"/>
                <w:u w:val="single"/>
              </w:rPr>
            </w:pPr>
            <w:r w:rsidRPr="002B0C92">
              <w:rPr>
                <w:rFonts w:ascii="Arial" w:hAnsi="Arial" w:cs="Arial"/>
                <w:b/>
                <w:sz w:val="22"/>
                <w:szCs w:val="22"/>
                <w:u w:val="single"/>
              </w:rPr>
              <w:t>Monitoring requirements</w:t>
            </w:r>
          </w:p>
          <w:p w:rsidR="00C53BE6" w:rsidRPr="002B0C92" w:rsidRDefault="00C53BE6" w:rsidP="00C53BE6">
            <w:pPr>
              <w:spacing w:after="0"/>
              <w:ind w:left="743" w:hanging="743"/>
              <w:rPr>
                <w:rFonts w:ascii="Arial" w:hAnsi="Arial" w:cs="Arial"/>
                <w:sz w:val="22"/>
                <w:szCs w:val="22"/>
              </w:rPr>
            </w:pPr>
          </w:p>
          <w:p w:rsidR="00422EFC" w:rsidRPr="002B0C92" w:rsidRDefault="00590A45" w:rsidP="00590A45">
            <w:pPr>
              <w:spacing w:after="0"/>
              <w:ind w:left="743" w:hanging="743"/>
              <w:rPr>
                <w:rFonts w:ascii="Arial" w:hAnsi="Arial" w:cs="Arial"/>
                <w:sz w:val="22"/>
                <w:szCs w:val="22"/>
              </w:rPr>
            </w:pPr>
            <w:r w:rsidRPr="002B0C92">
              <w:rPr>
                <w:rFonts w:ascii="Arial" w:hAnsi="Arial" w:cs="Arial"/>
                <w:sz w:val="22"/>
                <w:szCs w:val="22"/>
              </w:rPr>
              <w:t>The bariatric team will monitor bloods (as detailed below) for two years post-surgery.</w:t>
            </w:r>
          </w:p>
          <w:p w:rsidR="00422EFC" w:rsidRPr="002B0C92" w:rsidRDefault="00590A45" w:rsidP="00590A45">
            <w:pPr>
              <w:spacing w:after="0"/>
              <w:ind w:left="743" w:hanging="743"/>
              <w:rPr>
                <w:rFonts w:ascii="Arial" w:hAnsi="Arial" w:cs="Arial"/>
                <w:sz w:val="22"/>
                <w:szCs w:val="22"/>
              </w:rPr>
            </w:pPr>
            <w:r w:rsidRPr="002B0C92">
              <w:rPr>
                <w:rFonts w:ascii="Arial" w:hAnsi="Arial" w:cs="Arial"/>
                <w:sz w:val="22"/>
                <w:szCs w:val="22"/>
              </w:rPr>
              <w:t>Primary care clinicians will be asked to accept annual moni</w:t>
            </w:r>
            <w:r w:rsidR="00422EFC" w:rsidRPr="002B0C92">
              <w:rPr>
                <w:rFonts w:ascii="Arial" w:hAnsi="Arial" w:cs="Arial"/>
                <w:sz w:val="22"/>
                <w:szCs w:val="22"/>
              </w:rPr>
              <w:t>toring responsibility after two</w:t>
            </w:r>
          </w:p>
          <w:p w:rsidR="00422EFC" w:rsidRPr="002B0C92" w:rsidRDefault="00590A45" w:rsidP="00590A45">
            <w:pPr>
              <w:spacing w:after="0"/>
              <w:ind w:left="743" w:hanging="743"/>
              <w:rPr>
                <w:rFonts w:ascii="Arial" w:hAnsi="Arial" w:cs="Arial"/>
                <w:sz w:val="22"/>
                <w:szCs w:val="22"/>
              </w:rPr>
            </w:pPr>
            <w:proofErr w:type="gramStart"/>
            <w:r w:rsidRPr="002B0C92">
              <w:rPr>
                <w:rFonts w:ascii="Arial" w:hAnsi="Arial" w:cs="Arial"/>
                <w:sz w:val="22"/>
                <w:szCs w:val="22"/>
              </w:rPr>
              <w:t>years</w:t>
            </w:r>
            <w:proofErr w:type="gramEnd"/>
            <w:r w:rsidRPr="002B0C92">
              <w:rPr>
                <w:rFonts w:ascii="Arial" w:hAnsi="Arial" w:cs="Arial"/>
                <w:sz w:val="22"/>
                <w:szCs w:val="22"/>
              </w:rPr>
              <w:t>.  Annual blood monitoring is a lifelong requirement.  Patients should be referred back</w:t>
            </w:r>
          </w:p>
          <w:p w:rsidR="006465F9" w:rsidRPr="002B0C92" w:rsidRDefault="00590A45" w:rsidP="00590A45">
            <w:pPr>
              <w:spacing w:after="0"/>
              <w:ind w:left="743" w:hanging="743"/>
              <w:rPr>
                <w:rFonts w:ascii="Arial" w:hAnsi="Arial" w:cs="Arial"/>
                <w:sz w:val="22"/>
                <w:szCs w:val="22"/>
              </w:rPr>
            </w:pPr>
            <w:proofErr w:type="gramStart"/>
            <w:r w:rsidRPr="002B0C92">
              <w:rPr>
                <w:rFonts w:ascii="Arial" w:hAnsi="Arial" w:cs="Arial"/>
                <w:sz w:val="22"/>
                <w:szCs w:val="22"/>
              </w:rPr>
              <w:t>into</w:t>
            </w:r>
            <w:proofErr w:type="gramEnd"/>
            <w:r w:rsidRPr="002B0C92">
              <w:rPr>
                <w:rFonts w:ascii="Arial" w:hAnsi="Arial" w:cs="Arial"/>
                <w:sz w:val="22"/>
                <w:szCs w:val="22"/>
              </w:rPr>
              <w:t xml:space="preserve"> the bariatric service if support is required to correct levels</w:t>
            </w:r>
            <w:r w:rsidR="006465F9" w:rsidRPr="002B0C92">
              <w:rPr>
                <w:rFonts w:ascii="Arial" w:hAnsi="Arial" w:cs="Arial"/>
                <w:sz w:val="22"/>
                <w:szCs w:val="22"/>
              </w:rPr>
              <w:t>.</w:t>
            </w:r>
          </w:p>
          <w:p w:rsidR="006465F9" w:rsidRPr="002B0C92" w:rsidRDefault="006465F9" w:rsidP="00590A45">
            <w:pPr>
              <w:spacing w:after="0"/>
              <w:ind w:left="743" w:hanging="743"/>
              <w:rPr>
                <w:rFonts w:ascii="Arial" w:hAnsi="Arial" w:cs="Arial"/>
                <w:sz w:val="22"/>
                <w:szCs w:val="22"/>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95"/>
              <w:gridCol w:w="4519"/>
            </w:tblGrid>
            <w:tr w:rsidR="006465F9" w:rsidRPr="002B0C92" w:rsidTr="00707866">
              <w:trPr>
                <w:trHeight w:val="64"/>
              </w:trPr>
              <w:tc>
                <w:tcPr>
                  <w:tcW w:w="4395" w:type="dxa"/>
                  <w:shd w:val="clear" w:color="auto" w:fill="auto"/>
                </w:tcPr>
                <w:p w:rsidR="006465F9" w:rsidRPr="002B0C92" w:rsidRDefault="006465F9" w:rsidP="004C5B67">
                  <w:pPr>
                    <w:rPr>
                      <w:rFonts w:cs="Arial"/>
                      <w:b/>
                      <w:sz w:val="22"/>
                      <w:szCs w:val="22"/>
                    </w:rPr>
                  </w:pPr>
                  <w:r w:rsidRPr="002B0C92">
                    <w:rPr>
                      <w:rFonts w:cs="Arial"/>
                      <w:b/>
                      <w:sz w:val="22"/>
                      <w:szCs w:val="22"/>
                    </w:rPr>
                    <w:t>Blood test</w:t>
                  </w:r>
                </w:p>
              </w:tc>
              <w:tc>
                <w:tcPr>
                  <w:tcW w:w="4519" w:type="dxa"/>
                  <w:shd w:val="clear" w:color="auto" w:fill="auto"/>
                </w:tcPr>
                <w:p w:rsidR="006465F9" w:rsidRPr="002B0C92" w:rsidRDefault="006465F9" w:rsidP="004C5B67">
                  <w:pPr>
                    <w:rPr>
                      <w:rFonts w:cs="Arial"/>
                      <w:b/>
                      <w:sz w:val="22"/>
                      <w:szCs w:val="22"/>
                    </w:rPr>
                  </w:pPr>
                  <w:r w:rsidRPr="002B0C92">
                    <w:rPr>
                      <w:rFonts w:cs="Arial"/>
                      <w:b/>
                      <w:sz w:val="22"/>
                      <w:szCs w:val="22"/>
                    </w:rPr>
                    <w:t>Frequency</w:t>
                  </w:r>
                </w:p>
              </w:tc>
            </w:tr>
            <w:tr w:rsidR="006465F9" w:rsidRPr="002B0C92" w:rsidTr="00707866">
              <w:trPr>
                <w:trHeight w:val="64"/>
              </w:trPr>
              <w:tc>
                <w:tcPr>
                  <w:tcW w:w="4395" w:type="dxa"/>
                  <w:shd w:val="clear" w:color="auto" w:fill="auto"/>
                </w:tcPr>
                <w:p w:rsidR="006465F9" w:rsidRPr="002B0C92" w:rsidRDefault="006465F9" w:rsidP="004C5B67">
                  <w:pPr>
                    <w:rPr>
                      <w:rFonts w:cs="Arial"/>
                      <w:sz w:val="22"/>
                      <w:szCs w:val="22"/>
                    </w:rPr>
                  </w:pPr>
                  <w:r w:rsidRPr="002B0C92">
                    <w:rPr>
                      <w:rFonts w:cs="Arial"/>
                      <w:sz w:val="22"/>
                      <w:szCs w:val="22"/>
                    </w:rPr>
                    <w:t>U+E, LFT, bone profile, FBC, ferritin, folate, calcium, vitamin D and PTH</w:t>
                  </w:r>
                </w:p>
              </w:tc>
              <w:tc>
                <w:tcPr>
                  <w:tcW w:w="4519" w:type="dxa"/>
                  <w:shd w:val="clear" w:color="auto" w:fill="auto"/>
                </w:tcPr>
                <w:p w:rsidR="006465F9" w:rsidRPr="002B0C92" w:rsidRDefault="006465F9" w:rsidP="004C5B67">
                  <w:pPr>
                    <w:rPr>
                      <w:rFonts w:cs="Arial"/>
                      <w:sz w:val="22"/>
                      <w:szCs w:val="22"/>
                    </w:rPr>
                  </w:pPr>
                  <w:r w:rsidRPr="002B0C92">
                    <w:rPr>
                      <w:rFonts w:cs="Arial"/>
                      <w:sz w:val="22"/>
                      <w:szCs w:val="22"/>
                    </w:rPr>
                    <w:t>Annually</w:t>
                  </w:r>
                </w:p>
              </w:tc>
            </w:tr>
            <w:tr w:rsidR="006465F9" w:rsidRPr="002B0C92" w:rsidTr="00707866">
              <w:trPr>
                <w:trHeight w:val="64"/>
              </w:trPr>
              <w:tc>
                <w:tcPr>
                  <w:tcW w:w="4395" w:type="dxa"/>
                  <w:shd w:val="clear" w:color="auto" w:fill="auto"/>
                </w:tcPr>
                <w:p w:rsidR="006465F9" w:rsidRPr="002B0C92" w:rsidRDefault="006465F9" w:rsidP="004C5B67">
                  <w:pPr>
                    <w:rPr>
                      <w:rFonts w:cs="Arial"/>
                      <w:sz w:val="22"/>
                      <w:szCs w:val="22"/>
                    </w:rPr>
                  </w:pPr>
                  <w:r w:rsidRPr="002B0C92">
                    <w:rPr>
                      <w:rFonts w:cs="Arial"/>
                      <w:sz w:val="22"/>
                      <w:szCs w:val="22"/>
                    </w:rPr>
                    <w:t>Thiamine</w:t>
                  </w:r>
                </w:p>
              </w:tc>
              <w:tc>
                <w:tcPr>
                  <w:tcW w:w="4519" w:type="dxa"/>
                  <w:shd w:val="clear" w:color="auto" w:fill="auto"/>
                </w:tcPr>
                <w:p w:rsidR="006465F9" w:rsidRPr="002B0C92" w:rsidRDefault="006465F9" w:rsidP="00A976B7">
                  <w:pPr>
                    <w:rPr>
                      <w:rFonts w:cs="Arial"/>
                      <w:sz w:val="22"/>
                      <w:szCs w:val="22"/>
                    </w:rPr>
                  </w:pPr>
                  <w:r w:rsidRPr="002B0C92">
                    <w:rPr>
                      <w:rFonts w:cs="Arial"/>
                      <w:sz w:val="22"/>
                      <w:szCs w:val="22"/>
                    </w:rPr>
                    <w:t>Routine mon</w:t>
                  </w:r>
                  <w:r w:rsidR="00A976B7" w:rsidRPr="002B0C92">
                    <w:rPr>
                      <w:rFonts w:cs="Arial"/>
                      <w:sz w:val="22"/>
                      <w:szCs w:val="22"/>
                    </w:rPr>
                    <w:t>itor</w:t>
                  </w:r>
                  <w:r w:rsidRPr="002B0C92">
                    <w:rPr>
                      <w:rFonts w:cs="Arial"/>
                      <w:sz w:val="22"/>
                      <w:szCs w:val="22"/>
                    </w:rPr>
                    <w:t xml:space="preserve">ing is not required, however please be aware if the patient is suffering with prolonged vomiting an acute thiamine deficiency can occur and this requires urgent treatment </w:t>
                  </w:r>
                </w:p>
              </w:tc>
            </w:tr>
            <w:tr w:rsidR="006465F9" w:rsidRPr="002B0C92" w:rsidTr="00707866">
              <w:trPr>
                <w:trHeight w:val="64"/>
              </w:trPr>
              <w:tc>
                <w:tcPr>
                  <w:tcW w:w="4395" w:type="dxa"/>
                  <w:shd w:val="clear" w:color="auto" w:fill="auto"/>
                </w:tcPr>
                <w:p w:rsidR="006465F9" w:rsidRPr="002B0C92" w:rsidRDefault="006465F9" w:rsidP="004C5B67">
                  <w:pPr>
                    <w:rPr>
                      <w:rFonts w:cs="Arial"/>
                      <w:sz w:val="22"/>
                      <w:szCs w:val="22"/>
                    </w:rPr>
                  </w:pPr>
                  <w:r w:rsidRPr="002B0C92">
                    <w:rPr>
                      <w:rFonts w:cs="Arial"/>
                      <w:sz w:val="22"/>
                      <w:szCs w:val="22"/>
                    </w:rPr>
                    <w:t>Vitamin B12</w:t>
                  </w:r>
                </w:p>
              </w:tc>
              <w:tc>
                <w:tcPr>
                  <w:tcW w:w="4519" w:type="dxa"/>
                  <w:shd w:val="clear" w:color="auto" w:fill="auto"/>
                </w:tcPr>
                <w:p w:rsidR="006465F9" w:rsidRPr="002B0C92" w:rsidRDefault="006465F9" w:rsidP="004C5B67">
                  <w:pPr>
                    <w:rPr>
                      <w:rFonts w:cs="Arial"/>
                      <w:sz w:val="22"/>
                      <w:szCs w:val="22"/>
                    </w:rPr>
                  </w:pPr>
                  <w:r w:rsidRPr="002B0C92">
                    <w:rPr>
                      <w:rFonts w:cs="Arial"/>
                      <w:sz w:val="22"/>
                      <w:szCs w:val="22"/>
                    </w:rPr>
                    <w:t>Annually, although no need to monitor if the patient has vitamin B12 injections</w:t>
                  </w:r>
                </w:p>
              </w:tc>
            </w:tr>
            <w:tr w:rsidR="006465F9" w:rsidRPr="002B0C92" w:rsidTr="00707866">
              <w:trPr>
                <w:trHeight w:val="64"/>
              </w:trPr>
              <w:tc>
                <w:tcPr>
                  <w:tcW w:w="4395" w:type="dxa"/>
                  <w:shd w:val="clear" w:color="auto" w:fill="auto"/>
                </w:tcPr>
                <w:p w:rsidR="006465F9" w:rsidRPr="002B0C92" w:rsidRDefault="006465F9" w:rsidP="004C5B67">
                  <w:pPr>
                    <w:rPr>
                      <w:rFonts w:cs="Arial"/>
                      <w:sz w:val="22"/>
                      <w:szCs w:val="22"/>
                    </w:rPr>
                  </w:pPr>
                  <w:r w:rsidRPr="002B0C92">
                    <w:rPr>
                      <w:rFonts w:cs="Arial"/>
                      <w:sz w:val="22"/>
                      <w:szCs w:val="22"/>
                    </w:rPr>
                    <w:t>Zinc and copper</w:t>
                  </w:r>
                </w:p>
              </w:tc>
              <w:tc>
                <w:tcPr>
                  <w:tcW w:w="4519" w:type="dxa"/>
                  <w:shd w:val="clear" w:color="auto" w:fill="auto"/>
                </w:tcPr>
                <w:p w:rsidR="006465F9" w:rsidRPr="002B0C92" w:rsidRDefault="006465F9" w:rsidP="004C5B67">
                  <w:pPr>
                    <w:rPr>
                      <w:rFonts w:cs="Arial"/>
                      <w:sz w:val="22"/>
                      <w:szCs w:val="22"/>
                    </w:rPr>
                  </w:pPr>
                  <w:r w:rsidRPr="002B0C92">
                    <w:rPr>
                      <w:rFonts w:cs="Arial"/>
                      <w:sz w:val="22"/>
                      <w:szCs w:val="22"/>
                    </w:rPr>
                    <w:t>Annually</w:t>
                  </w:r>
                </w:p>
              </w:tc>
            </w:tr>
            <w:tr w:rsidR="006465F9" w:rsidRPr="002B0C92" w:rsidTr="00707866">
              <w:trPr>
                <w:trHeight w:val="64"/>
              </w:trPr>
              <w:tc>
                <w:tcPr>
                  <w:tcW w:w="4395" w:type="dxa"/>
                  <w:shd w:val="clear" w:color="auto" w:fill="auto"/>
                </w:tcPr>
                <w:p w:rsidR="006465F9" w:rsidRPr="002B0C92" w:rsidRDefault="006465F9" w:rsidP="004C5B67">
                  <w:pPr>
                    <w:rPr>
                      <w:rFonts w:cs="Arial"/>
                      <w:sz w:val="22"/>
                      <w:szCs w:val="22"/>
                    </w:rPr>
                  </w:pPr>
                  <w:r w:rsidRPr="002B0C92">
                    <w:rPr>
                      <w:rFonts w:cs="Arial"/>
                      <w:sz w:val="22"/>
                      <w:szCs w:val="22"/>
                    </w:rPr>
                    <w:lastRenderedPageBreak/>
                    <w:t>Vitamin A</w:t>
                  </w:r>
                </w:p>
              </w:tc>
              <w:tc>
                <w:tcPr>
                  <w:tcW w:w="4519" w:type="dxa"/>
                  <w:shd w:val="clear" w:color="auto" w:fill="auto"/>
                </w:tcPr>
                <w:p w:rsidR="006465F9" w:rsidRPr="002B0C92" w:rsidRDefault="006465F9" w:rsidP="004C5B67">
                  <w:pPr>
                    <w:rPr>
                      <w:rFonts w:cs="Arial"/>
                      <w:sz w:val="22"/>
                      <w:szCs w:val="22"/>
                    </w:rPr>
                  </w:pPr>
                  <w:r w:rsidRPr="002B0C92">
                    <w:rPr>
                      <w:rFonts w:cs="Arial"/>
                      <w:sz w:val="22"/>
                      <w:szCs w:val="22"/>
                    </w:rPr>
                    <w:t xml:space="preserve">Measure if concerns regarding </w:t>
                  </w:r>
                  <w:proofErr w:type="spellStart"/>
                  <w:r w:rsidRPr="002B0C92">
                    <w:rPr>
                      <w:rFonts w:cs="Arial"/>
                      <w:sz w:val="22"/>
                      <w:szCs w:val="22"/>
                    </w:rPr>
                    <w:t>steatorrhoea</w:t>
                  </w:r>
                  <w:proofErr w:type="spellEnd"/>
                  <w:r w:rsidRPr="002B0C92">
                    <w:rPr>
                      <w:rFonts w:cs="Arial"/>
                      <w:sz w:val="22"/>
                      <w:szCs w:val="22"/>
                    </w:rPr>
                    <w:t xml:space="preserve"> or symptoms of vitamin A deficiency</w:t>
                  </w:r>
                </w:p>
              </w:tc>
            </w:tr>
            <w:tr w:rsidR="006465F9" w:rsidRPr="002B0C92" w:rsidTr="00707866">
              <w:trPr>
                <w:trHeight w:val="64"/>
              </w:trPr>
              <w:tc>
                <w:tcPr>
                  <w:tcW w:w="4395" w:type="dxa"/>
                  <w:shd w:val="clear" w:color="auto" w:fill="auto"/>
                </w:tcPr>
                <w:p w:rsidR="006465F9" w:rsidRPr="002B0C92" w:rsidRDefault="006465F9" w:rsidP="004C5B67">
                  <w:pPr>
                    <w:rPr>
                      <w:rFonts w:cs="Arial"/>
                      <w:sz w:val="22"/>
                      <w:szCs w:val="22"/>
                    </w:rPr>
                  </w:pPr>
                  <w:r w:rsidRPr="002B0C92">
                    <w:rPr>
                      <w:rFonts w:cs="Arial"/>
                      <w:sz w:val="22"/>
                      <w:szCs w:val="22"/>
                    </w:rPr>
                    <w:t>Vitamin E+K</w:t>
                  </w:r>
                </w:p>
              </w:tc>
              <w:tc>
                <w:tcPr>
                  <w:tcW w:w="4519" w:type="dxa"/>
                  <w:shd w:val="clear" w:color="auto" w:fill="auto"/>
                </w:tcPr>
                <w:p w:rsidR="006465F9" w:rsidRPr="002B0C92" w:rsidRDefault="006465F9" w:rsidP="004C5B67">
                  <w:pPr>
                    <w:rPr>
                      <w:rFonts w:cs="Arial"/>
                      <w:sz w:val="22"/>
                      <w:szCs w:val="22"/>
                    </w:rPr>
                  </w:pPr>
                  <w:r w:rsidRPr="002B0C92">
                    <w:rPr>
                      <w:rFonts w:cs="Arial"/>
                      <w:sz w:val="22"/>
                      <w:szCs w:val="22"/>
                    </w:rPr>
                    <w:t xml:space="preserve">Measure if concerns regarding unexplained </w:t>
                  </w:r>
                  <w:proofErr w:type="spellStart"/>
                  <w:r w:rsidRPr="002B0C92">
                    <w:rPr>
                      <w:rFonts w:cs="Arial"/>
                      <w:sz w:val="22"/>
                      <w:szCs w:val="22"/>
                    </w:rPr>
                    <w:t>anaemia</w:t>
                  </w:r>
                  <w:proofErr w:type="spellEnd"/>
                  <w:r w:rsidRPr="002B0C92">
                    <w:rPr>
                      <w:rFonts w:cs="Arial"/>
                      <w:sz w:val="22"/>
                      <w:szCs w:val="22"/>
                    </w:rPr>
                    <w:t xml:space="preserve"> or neuropathy</w:t>
                  </w:r>
                </w:p>
              </w:tc>
            </w:tr>
            <w:tr w:rsidR="006465F9" w:rsidRPr="002B0C92" w:rsidTr="00707866">
              <w:trPr>
                <w:trHeight w:val="64"/>
              </w:trPr>
              <w:tc>
                <w:tcPr>
                  <w:tcW w:w="4395" w:type="dxa"/>
                  <w:shd w:val="clear" w:color="auto" w:fill="auto"/>
                </w:tcPr>
                <w:p w:rsidR="006465F9" w:rsidRPr="002B0C92" w:rsidRDefault="006465F9" w:rsidP="004C5B67">
                  <w:pPr>
                    <w:rPr>
                      <w:rFonts w:cs="Arial"/>
                      <w:sz w:val="22"/>
                      <w:szCs w:val="22"/>
                    </w:rPr>
                  </w:pPr>
                  <w:r w:rsidRPr="002B0C92">
                    <w:rPr>
                      <w:rFonts w:cs="Arial"/>
                      <w:sz w:val="22"/>
                      <w:szCs w:val="22"/>
                    </w:rPr>
                    <w:t>Selenium</w:t>
                  </w:r>
                </w:p>
              </w:tc>
              <w:tc>
                <w:tcPr>
                  <w:tcW w:w="4519" w:type="dxa"/>
                  <w:shd w:val="clear" w:color="auto" w:fill="auto"/>
                </w:tcPr>
                <w:p w:rsidR="006465F9" w:rsidRPr="002B0C92" w:rsidRDefault="006465F9" w:rsidP="004C5B67">
                  <w:pPr>
                    <w:rPr>
                      <w:rFonts w:cs="Arial"/>
                      <w:sz w:val="22"/>
                      <w:szCs w:val="22"/>
                    </w:rPr>
                  </w:pPr>
                  <w:r w:rsidRPr="002B0C92">
                    <w:rPr>
                      <w:rFonts w:cs="Arial"/>
                      <w:sz w:val="22"/>
                      <w:szCs w:val="22"/>
                    </w:rPr>
                    <w:t xml:space="preserve">Monitor if unexplained fatigue, </w:t>
                  </w:r>
                  <w:proofErr w:type="spellStart"/>
                  <w:r w:rsidRPr="002B0C92">
                    <w:rPr>
                      <w:rFonts w:cs="Arial"/>
                      <w:sz w:val="22"/>
                      <w:szCs w:val="22"/>
                    </w:rPr>
                    <w:t>anaemia</w:t>
                  </w:r>
                  <w:proofErr w:type="spellEnd"/>
                  <w:r w:rsidRPr="002B0C92">
                    <w:rPr>
                      <w:rFonts w:cs="Arial"/>
                      <w:sz w:val="22"/>
                      <w:szCs w:val="22"/>
                    </w:rPr>
                    <w:t xml:space="preserve">, metabolic bone disease, chronic </w:t>
                  </w:r>
                  <w:proofErr w:type="spellStart"/>
                  <w:r w:rsidRPr="002B0C92">
                    <w:rPr>
                      <w:rFonts w:cs="Arial"/>
                      <w:sz w:val="22"/>
                      <w:szCs w:val="22"/>
                    </w:rPr>
                    <w:t>diarrhoea</w:t>
                  </w:r>
                  <w:proofErr w:type="spellEnd"/>
                  <w:r w:rsidRPr="002B0C92">
                    <w:rPr>
                      <w:rFonts w:cs="Arial"/>
                      <w:sz w:val="22"/>
                      <w:szCs w:val="22"/>
                    </w:rPr>
                    <w:t xml:space="preserve"> or heart failure</w:t>
                  </w:r>
                </w:p>
              </w:tc>
            </w:tr>
            <w:tr w:rsidR="006465F9" w:rsidRPr="002B0C92" w:rsidTr="00707866">
              <w:trPr>
                <w:trHeight w:val="64"/>
              </w:trPr>
              <w:tc>
                <w:tcPr>
                  <w:tcW w:w="4395" w:type="dxa"/>
                  <w:shd w:val="clear" w:color="auto" w:fill="auto"/>
                </w:tcPr>
                <w:p w:rsidR="006465F9" w:rsidRPr="002B0C92" w:rsidRDefault="006465F9" w:rsidP="004C5B67">
                  <w:pPr>
                    <w:rPr>
                      <w:rFonts w:cs="Arial"/>
                      <w:sz w:val="22"/>
                      <w:szCs w:val="22"/>
                    </w:rPr>
                  </w:pPr>
                  <w:r w:rsidRPr="002B0C92">
                    <w:rPr>
                      <w:rFonts w:cs="Arial"/>
                      <w:sz w:val="22"/>
                      <w:szCs w:val="22"/>
                    </w:rPr>
                    <w:t>Vitamin D</w:t>
                  </w:r>
                </w:p>
              </w:tc>
              <w:tc>
                <w:tcPr>
                  <w:tcW w:w="4519" w:type="dxa"/>
                  <w:shd w:val="clear" w:color="auto" w:fill="auto"/>
                </w:tcPr>
                <w:p w:rsidR="006465F9" w:rsidRPr="002B0C92" w:rsidRDefault="006465F9" w:rsidP="004C5B67">
                  <w:pPr>
                    <w:rPr>
                      <w:rFonts w:cs="Arial"/>
                      <w:sz w:val="22"/>
                      <w:szCs w:val="22"/>
                    </w:rPr>
                  </w:pPr>
                  <w:r w:rsidRPr="002B0C92">
                    <w:rPr>
                      <w:rFonts w:cs="Arial"/>
                      <w:sz w:val="22"/>
                      <w:szCs w:val="22"/>
                    </w:rPr>
                    <w:t>Annually</w:t>
                  </w:r>
                </w:p>
              </w:tc>
            </w:tr>
            <w:tr w:rsidR="006465F9" w:rsidRPr="002B0C92" w:rsidTr="00707866">
              <w:trPr>
                <w:trHeight w:val="84"/>
              </w:trPr>
              <w:tc>
                <w:tcPr>
                  <w:tcW w:w="4395" w:type="dxa"/>
                  <w:shd w:val="clear" w:color="auto" w:fill="auto"/>
                </w:tcPr>
                <w:p w:rsidR="006465F9" w:rsidRPr="002B0C92" w:rsidRDefault="006465F9" w:rsidP="004C5B67">
                  <w:pPr>
                    <w:rPr>
                      <w:rFonts w:cs="Arial"/>
                      <w:sz w:val="22"/>
                      <w:szCs w:val="22"/>
                    </w:rPr>
                  </w:pPr>
                  <w:r w:rsidRPr="002B0C92">
                    <w:rPr>
                      <w:rFonts w:cs="Arial"/>
                      <w:sz w:val="22"/>
                      <w:szCs w:val="22"/>
                    </w:rPr>
                    <w:t>PTH</w:t>
                  </w:r>
                </w:p>
              </w:tc>
              <w:tc>
                <w:tcPr>
                  <w:tcW w:w="4519" w:type="dxa"/>
                  <w:shd w:val="clear" w:color="auto" w:fill="auto"/>
                </w:tcPr>
                <w:p w:rsidR="006465F9" w:rsidRPr="002B0C92" w:rsidRDefault="006465F9" w:rsidP="004C5B67">
                  <w:pPr>
                    <w:rPr>
                      <w:rFonts w:cs="Arial"/>
                      <w:sz w:val="22"/>
                      <w:szCs w:val="22"/>
                    </w:rPr>
                  </w:pPr>
                  <w:r w:rsidRPr="002B0C92">
                    <w:rPr>
                      <w:rFonts w:cs="Arial"/>
                      <w:sz w:val="22"/>
                      <w:szCs w:val="22"/>
                    </w:rPr>
                    <w:t>Annually</w:t>
                  </w:r>
                </w:p>
              </w:tc>
            </w:tr>
          </w:tbl>
          <w:p w:rsidR="006465F9" w:rsidRPr="002B0C92" w:rsidRDefault="006465F9" w:rsidP="00590A45">
            <w:pPr>
              <w:spacing w:after="0"/>
              <w:ind w:left="743" w:hanging="743"/>
              <w:rPr>
                <w:rFonts w:ascii="Arial" w:hAnsi="Arial" w:cs="Arial"/>
                <w:sz w:val="22"/>
                <w:szCs w:val="22"/>
              </w:rPr>
            </w:pPr>
          </w:p>
          <w:p w:rsidR="00422EFC" w:rsidRPr="002B0C92" w:rsidRDefault="006465F9" w:rsidP="00590A45">
            <w:pPr>
              <w:spacing w:after="0"/>
              <w:ind w:left="743" w:hanging="743"/>
              <w:rPr>
                <w:rFonts w:ascii="Arial" w:hAnsi="Arial" w:cs="Arial"/>
                <w:sz w:val="22"/>
                <w:szCs w:val="22"/>
              </w:rPr>
            </w:pPr>
            <w:r w:rsidRPr="002B0C92">
              <w:rPr>
                <w:rFonts w:ascii="Arial" w:hAnsi="Arial" w:cs="Arial"/>
                <w:sz w:val="22"/>
                <w:szCs w:val="22"/>
              </w:rPr>
              <w:t xml:space="preserve">The most common deficiencies found during blood monitoring are zinc and vitamin D.  If </w:t>
            </w:r>
          </w:p>
          <w:p w:rsidR="00422EFC" w:rsidRPr="002B0C92" w:rsidRDefault="006465F9" w:rsidP="00590A45">
            <w:pPr>
              <w:spacing w:after="0"/>
              <w:ind w:left="743" w:hanging="743"/>
              <w:rPr>
                <w:rFonts w:ascii="Arial" w:hAnsi="Arial" w:cs="Arial"/>
                <w:sz w:val="22"/>
                <w:szCs w:val="22"/>
              </w:rPr>
            </w:pPr>
            <w:r w:rsidRPr="002B0C92">
              <w:rPr>
                <w:rFonts w:ascii="Arial" w:hAnsi="Arial" w:cs="Arial"/>
                <w:sz w:val="22"/>
                <w:szCs w:val="22"/>
              </w:rPr>
              <w:t xml:space="preserve">such deficiencies are discovered, primary care clinicians may be advised to prescribe </w:t>
            </w:r>
            <w:proofErr w:type="spellStart"/>
            <w:r w:rsidRPr="002B0C92">
              <w:rPr>
                <w:rFonts w:ascii="Arial" w:hAnsi="Arial" w:cs="Arial"/>
                <w:sz w:val="22"/>
                <w:szCs w:val="22"/>
              </w:rPr>
              <w:t>Solva</w:t>
            </w:r>
            <w:proofErr w:type="spellEnd"/>
          </w:p>
          <w:p w:rsidR="00422EFC" w:rsidRPr="002B0C92" w:rsidRDefault="006465F9" w:rsidP="00590A45">
            <w:pPr>
              <w:spacing w:after="0"/>
              <w:ind w:left="743" w:hanging="743"/>
              <w:rPr>
                <w:rFonts w:ascii="Arial" w:hAnsi="Arial" w:cs="Arial"/>
                <w:sz w:val="22"/>
                <w:szCs w:val="22"/>
              </w:rPr>
            </w:pPr>
            <w:r w:rsidRPr="002B0C92">
              <w:rPr>
                <w:rFonts w:ascii="Arial" w:hAnsi="Arial" w:cs="Arial"/>
                <w:sz w:val="22"/>
                <w:szCs w:val="22"/>
              </w:rPr>
              <w:t xml:space="preserve">zinc twice daily for 8 weeks only (for zinc deficiency) or </w:t>
            </w:r>
            <w:proofErr w:type="spellStart"/>
            <w:r w:rsidRPr="002B0C92">
              <w:rPr>
                <w:rFonts w:ascii="Arial" w:hAnsi="Arial" w:cs="Arial"/>
                <w:sz w:val="22"/>
                <w:szCs w:val="22"/>
              </w:rPr>
              <w:t>Fultium</w:t>
            </w:r>
            <w:proofErr w:type="spellEnd"/>
            <w:r w:rsidRPr="002B0C92">
              <w:rPr>
                <w:rFonts w:ascii="Arial" w:hAnsi="Arial" w:cs="Arial"/>
                <w:sz w:val="22"/>
                <w:szCs w:val="22"/>
              </w:rPr>
              <w:t xml:space="preserve"> D3 800IU once daily for 3</w:t>
            </w:r>
          </w:p>
          <w:p w:rsidR="006465F9" w:rsidRPr="002B0C92" w:rsidRDefault="006465F9" w:rsidP="00590A45">
            <w:pPr>
              <w:spacing w:after="0"/>
              <w:ind w:left="743" w:hanging="743"/>
              <w:rPr>
                <w:rFonts w:ascii="Arial" w:hAnsi="Arial" w:cs="Arial"/>
                <w:sz w:val="22"/>
                <w:szCs w:val="22"/>
              </w:rPr>
            </w:pPr>
            <w:proofErr w:type="gramStart"/>
            <w:r w:rsidRPr="002B0C92">
              <w:rPr>
                <w:rFonts w:ascii="Arial" w:hAnsi="Arial" w:cs="Arial"/>
                <w:sz w:val="22"/>
                <w:szCs w:val="22"/>
              </w:rPr>
              <w:t>months</w:t>
            </w:r>
            <w:proofErr w:type="gramEnd"/>
            <w:r w:rsidRPr="002B0C92">
              <w:rPr>
                <w:rFonts w:ascii="Arial" w:hAnsi="Arial" w:cs="Arial"/>
                <w:sz w:val="22"/>
                <w:szCs w:val="22"/>
              </w:rPr>
              <w:t xml:space="preserve"> (for vitamin D deficiency).</w:t>
            </w:r>
          </w:p>
          <w:p w:rsidR="006465F9" w:rsidRPr="002B0C92" w:rsidRDefault="006465F9" w:rsidP="00590A45">
            <w:pPr>
              <w:spacing w:after="0"/>
              <w:ind w:left="743" w:hanging="743"/>
              <w:rPr>
                <w:rFonts w:ascii="Arial" w:hAnsi="Arial" w:cs="Arial"/>
                <w:sz w:val="22"/>
                <w:szCs w:val="22"/>
              </w:rPr>
            </w:pPr>
          </w:p>
          <w:p w:rsidR="00C53BE6" w:rsidRPr="002B0C92" w:rsidRDefault="00C53BE6" w:rsidP="00C53BE6">
            <w:pPr>
              <w:autoSpaceDE w:val="0"/>
              <w:autoSpaceDN w:val="0"/>
              <w:adjustRightInd w:val="0"/>
              <w:spacing w:line="300" w:lineRule="exact"/>
              <w:rPr>
                <w:rFonts w:ascii="Arial" w:hAnsi="Arial" w:cs="Arial"/>
                <w:b/>
                <w:sz w:val="22"/>
                <w:szCs w:val="22"/>
              </w:rPr>
            </w:pPr>
            <w:r w:rsidRPr="002B0C92">
              <w:rPr>
                <w:rFonts w:ascii="Arial" w:hAnsi="Arial" w:cs="Arial"/>
                <w:b/>
                <w:sz w:val="22"/>
                <w:szCs w:val="22"/>
              </w:rPr>
              <w:t>4. Other prescribed medicines</w:t>
            </w:r>
          </w:p>
          <w:p w:rsidR="0049316A" w:rsidRPr="002B0C92" w:rsidRDefault="0049316A" w:rsidP="00281D13">
            <w:pPr>
              <w:pStyle w:val="NoSpacing"/>
              <w:rPr>
                <w:rFonts w:ascii="Arial" w:hAnsi="Arial" w:cs="Arial"/>
                <w:sz w:val="22"/>
                <w:szCs w:val="22"/>
              </w:rPr>
            </w:pPr>
            <w:r w:rsidRPr="002B0C92">
              <w:rPr>
                <w:rFonts w:ascii="Arial" w:hAnsi="Arial" w:cs="Arial"/>
                <w:sz w:val="22"/>
                <w:szCs w:val="22"/>
              </w:rPr>
              <w:t>At the time of discharge patients will be issued with:</w:t>
            </w:r>
          </w:p>
          <w:p w:rsidR="0049316A" w:rsidRPr="002B0C92" w:rsidRDefault="0049316A" w:rsidP="00281D13">
            <w:pPr>
              <w:pStyle w:val="NoSpacing"/>
              <w:numPr>
                <w:ilvl w:val="0"/>
                <w:numId w:val="44"/>
              </w:numPr>
              <w:rPr>
                <w:rFonts w:ascii="Arial" w:hAnsi="Arial" w:cs="Arial"/>
                <w:sz w:val="22"/>
                <w:szCs w:val="22"/>
              </w:rPr>
            </w:pPr>
            <w:r w:rsidRPr="002B0C92">
              <w:rPr>
                <w:rFonts w:ascii="Arial" w:hAnsi="Arial" w:cs="Arial"/>
                <w:sz w:val="22"/>
                <w:szCs w:val="22"/>
              </w:rPr>
              <w:t>Low molecular weight heparin (the full supply should be issued by the bariatric team)</w:t>
            </w:r>
          </w:p>
          <w:p w:rsidR="0049316A" w:rsidRPr="002B0C92" w:rsidRDefault="0049316A" w:rsidP="00281D13">
            <w:pPr>
              <w:pStyle w:val="NoSpacing"/>
              <w:numPr>
                <w:ilvl w:val="0"/>
                <w:numId w:val="44"/>
              </w:numPr>
              <w:rPr>
                <w:rFonts w:ascii="Arial" w:hAnsi="Arial" w:cs="Arial"/>
                <w:sz w:val="22"/>
                <w:szCs w:val="22"/>
              </w:rPr>
            </w:pPr>
            <w:r w:rsidRPr="002B0C92">
              <w:rPr>
                <w:rFonts w:ascii="Arial" w:hAnsi="Arial" w:cs="Arial"/>
                <w:sz w:val="22"/>
                <w:szCs w:val="22"/>
              </w:rPr>
              <w:t>Lansoprazole 30mg or omeprazole 20mg capsules (1-2 weeks supply will be issued by the bariatric team at the time of discharge, this should then be continued in primary care for approximately 3 months post</w:t>
            </w:r>
            <w:r w:rsidR="00422EFC" w:rsidRPr="002B0C92">
              <w:rPr>
                <w:rFonts w:ascii="Arial" w:hAnsi="Arial" w:cs="Arial"/>
                <w:sz w:val="22"/>
                <w:szCs w:val="22"/>
              </w:rPr>
              <w:t>-</w:t>
            </w:r>
            <w:r w:rsidRPr="002B0C92">
              <w:rPr>
                <w:rFonts w:ascii="Arial" w:hAnsi="Arial" w:cs="Arial"/>
                <w:sz w:val="22"/>
                <w:szCs w:val="22"/>
              </w:rPr>
              <w:t>surgery.  It can then be stopped)</w:t>
            </w:r>
          </w:p>
          <w:p w:rsidR="00C53BE6" w:rsidRPr="002B0C92" w:rsidRDefault="00C53BE6" w:rsidP="00281D13">
            <w:pPr>
              <w:pStyle w:val="NoSpacing"/>
              <w:rPr>
                <w:rFonts w:ascii="Arial" w:hAnsi="Arial" w:cs="Arial"/>
                <w:sz w:val="22"/>
                <w:szCs w:val="22"/>
              </w:rPr>
            </w:pPr>
          </w:p>
          <w:p w:rsidR="00C53BE6" w:rsidRPr="002B0C92" w:rsidRDefault="00C53BE6" w:rsidP="00281D13">
            <w:pPr>
              <w:pStyle w:val="NoSpacing"/>
              <w:rPr>
                <w:rFonts w:ascii="Arial" w:hAnsi="Arial" w:cs="Arial"/>
                <w:b/>
                <w:sz w:val="22"/>
                <w:szCs w:val="22"/>
              </w:rPr>
            </w:pPr>
            <w:r w:rsidRPr="002B0C92">
              <w:rPr>
                <w:rFonts w:ascii="Arial" w:hAnsi="Arial" w:cs="Arial"/>
                <w:b/>
                <w:sz w:val="22"/>
                <w:szCs w:val="22"/>
              </w:rPr>
              <w:t>5. Liquid formulations</w:t>
            </w:r>
          </w:p>
          <w:p w:rsidR="00281D13" w:rsidRPr="002B0C92" w:rsidRDefault="00281D13" w:rsidP="00281D13">
            <w:pPr>
              <w:pStyle w:val="NoSpacing"/>
              <w:rPr>
                <w:rFonts w:ascii="Arial" w:hAnsi="Arial" w:cs="Arial"/>
                <w:b/>
                <w:sz w:val="22"/>
                <w:szCs w:val="22"/>
              </w:rPr>
            </w:pPr>
          </w:p>
          <w:p w:rsidR="00C53BE6" w:rsidRPr="002B0C92" w:rsidRDefault="0049316A" w:rsidP="00281D13">
            <w:pPr>
              <w:pStyle w:val="NoSpacing"/>
              <w:rPr>
                <w:rFonts w:ascii="Arial" w:hAnsi="Arial" w:cs="Arial"/>
                <w:sz w:val="22"/>
                <w:szCs w:val="22"/>
              </w:rPr>
            </w:pPr>
            <w:r w:rsidRPr="002B0C92">
              <w:rPr>
                <w:rFonts w:ascii="Arial" w:hAnsi="Arial" w:cs="Arial"/>
                <w:sz w:val="22"/>
                <w:szCs w:val="22"/>
              </w:rPr>
              <w:t xml:space="preserve">Liquid formulations of medicines are not required either </w:t>
            </w:r>
            <w:r w:rsidR="00C53BE6" w:rsidRPr="002B0C92">
              <w:rPr>
                <w:rFonts w:ascii="Arial" w:hAnsi="Arial" w:cs="Arial"/>
                <w:sz w:val="22"/>
                <w:szCs w:val="22"/>
              </w:rPr>
              <w:t xml:space="preserve">before or after surgery. </w:t>
            </w:r>
          </w:p>
          <w:p w:rsidR="00281D13" w:rsidRPr="002B0C92" w:rsidRDefault="00281D13" w:rsidP="00281D13">
            <w:pPr>
              <w:pStyle w:val="NoSpacing"/>
              <w:rPr>
                <w:rFonts w:ascii="Arial" w:hAnsi="Arial" w:cs="Arial"/>
                <w:sz w:val="22"/>
                <w:szCs w:val="22"/>
              </w:rPr>
            </w:pPr>
          </w:p>
          <w:p w:rsidR="00C53BE6" w:rsidRPr="002B0C92" w:rsidRDefault="00C53BE6" w:rsidP="00281D13">
            <w:pPr>
              <w:pStyle w:val="NoSpacing"/>
              <w:rPr>
                <w:rFonts w:ascii="Arial" w:hAnsi="Arial" w:cs="Arial"/>
                <w:b/>
                <w:sz w:val="22"/>
                <w:szCs w:val="22"/>
              </w:rPr>
            </w:pPr>
            <w:r w:rsidRPr="002B0C92">
              <w:rPr>
                <w:rFonts w:ascii="Arial" w:hAnsi="Arial" w:cs="Arial"/>
                <w:b/>
                <w:sz w:val="22"/>
                <w:szCs w:val="22"/>
              </w:rPr>
              <w:t>6. Further information</w:t>
            </w:r>
          </w:p>
          <w:p w:rsidR="00281D13" w:rsidRPr="002B0C92" w:rsidRDefault="00281D13" w:rsidP="00281D13">
            <w:pPr>
              <w:pStyle w:val="NoSpacing"/>
              <w:rPr>
                <w:rFonts w:ascii="Arial" w:hAnsi="Arial" w:cs="Arial"/>
                <w:b/>
                <w:sz w:val="22"/>
                <w:szCs w:val="22"/>
              </w:rPr>
            </w:pPr>
          </w:p>
          <w:p w:rsidR="0049316A" w:rsidRPr="002B0C92" w:rsidRDefault="0049316A" w:rsidP="00281D13">
            <w:pPr>
              <w:pStyle w:val="NoSpacing"/>
              <w:rPr>
                <w:rFonts w:ascii="Arial" w:hAnsi="Arial" w:cs="Arial"/>
                <w:b/>
                <w:sz w:val="22"/>
                <w:szCs w:val="22"/>
              </w:rPr>
            </w:pPr>
            <w:r w:rsidRPr="002B0C92">
              <w:rPr>
                <w:rFonts w:ascii="Arial" w:hAnsi="Arial" w:cs="Arial"/>
                <w:b/>
                <w:sz w:val="22"/>
                <w:szCs w:val="22"/>
              </w:rPr>
              <w:t>Pregnancy</w:t>
            </w:r>
          </w:p>
          <w:p w:rsidR="00281D13" w:rsidRPr="002B0C92" w:rsidRDefault="00281D13" w:rsidP="00281D13">
            <w:pPr>
              <w:pStyle w:val="NoSpacing"/>
              <w:rPr>
                <w:rFonts w:ascii="Arial" w:hAnsi="Arial" w:cs="Arial"/>
                <w:sz w:val="22"/>
                <w:szCs w:val="22"/>
              </w:rPr>
            </w:pPr>
          </w:p>
          <w:p w:rsidR="0049316A" w:rsidRPr="002B0C92" w:rsidRDefault="00281D13" w:rsidP="00281D13">
            <w:pPr>
              <w:pStyle w:val="NoSpacing"/>
              <w:rPr>
                <w:rFonts w:ascii="Arial" w:hAnsi="Arial" w:cs="Arial"/>
                <w:sz w:val="22"/>
                <w:szCs w:val="22"/>
              </w:rPr>
            </w:pPr>
            <w:r w:rsidRPr="002B0C92">
              <w:rPr>
                <w:rFonts w:ascii="Arial" w:hAnsi="Arial" w:cs="Arial"/>
                <w:sz w:val="22"/>
                <w:szCs w:val="22"/>
              </w:rPr>
              <w:t>P</w:t>
            </w:r>
            <w:r w:rsidR="0049316A" w:rsidRPr="002B0C92">
              <w:rPr>
                <w:rFonts w:ascii="Arial" w:hAnsi="Arial" w:cs="Arial"/>
                <w:sz w:val="22"/>
                <w:szCs w:val="22"/>
              </w:rPr>
              <w:t xml:space="preserve">atients are advised that they should not become pregnant in the first 12 months after </w:t>
            </w:r>
            <w:proofErr w:type="gramStart"/>
            <w:r w:rsidR="0049316A" w:rsidRPr="002B0C92">
              <w:rPr>
                <w:rFonts w:ascii="Arial" w:hAnsi="Arial" w:cs="Arial"/>
                <w:sz w:val="22"/>
                <w:szCs w:val="22"/>
              </w:rPr>
              <w:t>surgery,</w:t>
            </w:r>
            <w:proofErr w:type="gramEnd"/>
            <w:r w:rsidR="0049316A" w:rsidRPr="002B0C92">
              <w:rPr>
                <w:rFonts w:ascii="Arial" w:hAnsi="Arial" w:cs="Arial"/>
                <w:sz w:val="22"/>
                <w:szCs w:val="22"/>
              </w:rPr>
              <w:t xml:space="preserve"> ideally they should wait for at least 18 months.</w:t>
            </w:r>
          </w:p>
          <w:p w:rsidR="00281D13" w:rsidRPr="002B0C92" w:rsidRDefault="00281D13" w:rsidP="00281D13">
            <w:pPr>
              <w:pStyle w:val="NoSpacing"/>
              <w:rPr>
                <w:rFonts w:ascii="Arial" w:hAnsi="Arial" w:cs="Arial"/>
                <w:sz w:val="22"/>
                <w:szCs w:val="22"/>
              </w:rPr>
            </w:pPr>
          </w:p>
          <w:p w:rsidR="003329F6" w:rsidRPr="002B0C92" w:rsidRDefault="0049316A" w:rsidP="00281D13">
            <w:pPr>
              <w:pStyle w:val="NoSpacing"/>
              <w:rPr>
                <w:rFonts w:ascii="Arial" w:hAnsi="Arial" w:cs="Arial"/>
                <w:sz w:val="22"/>
                <w:szCs w:val="22"/>
              </w:rPr>
            </w:pPr>
            <w:r w:rsidRPr="002B0C92">
              <w:rPr>
                <w:rFonts w:ascii="Arial" w:hAnsi="Arial" w:cs="Arial"/>
                <w:sz w:val="22"/>
                <w:szCs w:val="22"/>
              </w:rPr>
              <w:t>If they become pregnant they should be advised to stop taking their multivitamin</w:t>
            </w:r>
            <w:r w:rsidR="003329F6" w:rsidRPr="002B0C92">
              <w:rPr>
                <w:rFonts w:ascii="Arial" w:hAnsi="Arial" w:cs="Arial"/>
                <w:sz w:val="22"/>
                <w:szCs w:val="22"/>
              </w:rPr>
              <w:t xml:space="preserve">/mineral product </w:t>
            </w:r>
            <w:r w:rsidRPr="002B0C92">
              <w:rPr>
                <w:rFonts w:ascii="Arial" w:hAnsi="Arial" w:cs="Arial"/>
                <w:sz w:val="22"/>
                <w:szCs w:val="22"/>
              </w:rPr>
              <w:t xml:space="preserve">and switch to </w:t>
            </w:r>
            <w:r w:rsidR="003329F6" w:rsidRPr="002B0C92">
              <w:rPr>
                <w:rFonts w:ascii="Arial" w:hAnsi="Arial" w:cs="Arial"/>
                <w:sz w:val="22"/>
                <w:szCs w:val="22"/>
              </w:rPr>
              <w:t xml:space="preserve">a pregnancy specific one e.g. </w:t>
            </w:r>
            <w:proofErr w:type="spellStart"/>
            <w:r w:rsidR="003329F6" w:rsidRPr="002B0C92">
              <w:rPr>
                <w:rFonts w:ascii="Arial" w:hAnsi="Arial" w:cs="Arial"/>
                <w:sz w:val="22"/>
                <w:szCs w:val="22"/>
              </w:rPr>
              <w:t>Pregnacare</w:t>
            </w:r>
            <w:proofErr w:type="spellEnd"/>
            <w:r w:rsidR="003329F6" w:rsidRPr="002B0C92">
              <w:rPr>
                <w:rFonts w:ascii="Arial" w:hAnsi="Arial" w:cs="Arial"/>
                <w:sz w:val="22"/>
                <w:szCs w:val="22"/>
              </w:rPr>
              <w:t xml:space="preserve"> or Seven Seas pregnancy.</w:t>
            </w:r>
          </w:p>
          <w:p w:rsidR="00281D13" w:rsidRPr="002B0C92" w:rsidRDefault="00281D13" w:rsidP="00281D13">
            <w:pPr>
              <w:pStyle w:val="NoSpacing"/>
              <w:rPr>
                <w:rFonts w:ascii="Arial" w:hAnsi="Arial" w:cs="Arial"/>
                <w:sz w:val="22"/>
                <w:szCs w:val="22"/>
              </w:rPr>
            </w:pPr>
          </w:p>
          <w:p w:rsidR="003329F6" w:rsidRPr="002B0C92" w:rsidRDefault="005833C0" w:rsidP="00281D13">
            <w:pPr>
              <w:pStyle w:val="NoSpacing"/>
              <w:rPr>
                <w:rFonts w:ascii="Arial" w:hAnsi="Arial" w:cs="Arial"/>
                <w:sz w:val="22"/>
                <w:szCs w:val="22"/>
              </w:rPr>
            </w:pPr>
            <w:r w:rsidRPr="002B0C92">
              <w:rPr>
                <w:rFonts w:ascii="Arial" w:hAnsi="Arial" w:cs="Arial"/>
                <w:sz w:val="22"/>
                <w:szCs w:val="22"/>
              </w:rPr>
              <w:t>Where it has been appropriate to prescribe c</w:t>
            </w:r>
            <w:r w:rsidR="003329F6" w:rsidRPr="002B0C92">
              <w:rPr>
                <w:rFonts w:ascii="Arial" w:hAnsi="Arial" w:cs="Arial"/>
                <w:sz w:val="22"/>
                <w:szCs w:val="22"/>
              </w:rPr>
              <w:t>alcium and vitamin D supplements and Vitamin B12 injections</w:t>
            </w:r>
            <w:r w:rsidRPr="002B0C92">
              <w:rPr>
                <w:rFonts w:ascii="Arial" w:hAnsi="Arial" w:cs="Arial"/>
                <w:sz w:val="22"/>
                <w:szCs w:val="22"/>
              </w:rPr>
              <w:t>, these</w:t>
            </w:r>
            <w:r w:rsidR="003329F6" w:rsidRPr="002B0C92">
              <w:rPr>
                <w:rFonts w:ascii="Arial" w:hAnsi="Arial" w:cs="Arial"/>
                <w:sz w:val="22"/>
                <w:szCs w:val="22"/>
              </w:rPr>
              <w:t xml:space="preserve"> should</w:t>
            </w:r>
            <w:r w:rsidRPr="002B0C92">
              <w:rPr>
                <w:rFonts w:ascii="Arial" w:hAnsi="Arial" w:cs="Arial"/>
                <w:sz w:val="22"/>
                <w:szCs w:val="22"/>
              </w:rPr>
              <w:t xml:space="preserve"> be</w:t>
            </w:r>
            <w:r w:rsidR="003329F6" w:rsidRPr="002B0C92">
              <w:rPr>
                <w:rFonts w:ascii="Arial" w:hAnsi="Arial" w:cs="Arial"/>
                <w:sz w:val="22"/>
                <w:szCs w:val="22"/>
              </w:rPr>
              <w:t xml:space="preserve"> continue</w:t>
            </w:r>
            <w:r w:rsidRPr="002B0C92">
              <w:rPr>
                <w:rFonts w:ascii="Arial" w:hAnsi="Arial" w:cs="Arial"/>
                <w:sz w:val="22"/>
                <w:szCs w:val="22"/>
              </w:rPr>
              <w:t>d</w:t>
            </w:r>
            <w:r w:rsidR="003329F6" w:rsidRPr="002B0C92">
              <w:rPr>
                <w:rFonts w:ascii="Arial" w:hAnsi="Arial" w:cs="Arial"/>
                <w:sz w:val="22"/>
                <w:szCs w:val="22"/>
              </w:rPr>
              <w:t xml:space="preserve"> during pregnancy.</w:t>
            </w:r>
          </w:p>
          <w:p w:rsidR="00281D13" w:rsidRPr="002B0C92" w:rsidRDefault="00281D13" w:rsidP="00281D13">
            <w:pPr>
              <w:pStyle w:val="NoSpacing"/>
              <w:rPr>
                <w:rFonts w:ascii="Arial" w:hAnsi="Arial" w:cs="Arial"/>
                <w:sz w:val="22"/>
                <w:szCs w:val="22"/>
              </w:rPr>
            </w:pPr>
          </w:p>
          <w:p w:rsidR="003329F6" w:rsidRPr="002B0C92" w:rsidRDefault="003329F6" w:rsidP="00281D13">
            <w:pPr>
              <w:pStyle w:val="NoSpacing"/>
              <w:rPr>
                <w:rFonts w:ascii="Arial" w:hAnsi="Arial" w:cs="Arial"/>
                <w:sz w:val="22"/>
                <w:szCs w:val="22"/>
              </w:rPr>
            </w:pPr>
            <w:r w:rsidRPr="002B0C92">
              <w:rPr>
                <w:rFonts w:ascii="Arial" w:hAnsi="Arial" w:cs="Arial"/>
                <w:sz w:val="22"/>
                <w:szCs w:val="22"/>
              </w:rPr>
              <w:t xml:space="preserve">If the patient becomes pregnant within the first 12 months of surgery </w:t>
            </w:r>
            <w:r w:rsidRPr="002B0C92">
              <w:rPr>
                <w:rFonts w:ascii="Arial" w:hAnsi="Arial" w:cs="Arial"/>
                <w:sz w:val="22"/>
                <w:szCs w:val="22"/>
                <w:u w:val="single"/>
              </w:rPr>
              <w:t>or</w:t>
            </w:r>
            <w:r w:rsidRPr="002B0C92">
              <w:rPr>
                <w:rFonts w:ascii="Arial" w:hAnsi="Arial" w:cs="Arial"/>
                <w:sz w:val="22"/>
                <w:szCs w:val="22"/>
              </w:rPr>
              <w:t xml:space="preserve"> if their BMI is &gt; 30, folic acid 5mg tablets, one daily, should be taken until the 12</w:t>
            </w:r>
            <w:r w:rsidRPr="002B0C92">
              <w:rPr>
                <w:rFonts w:ascii="Arial" w:hAnsi="Arial" w:cs="Arial"/>
                <w:sz w:val="22"/>
                <w:szCs w:val="22"/>
                <w:vertAlign w:val="superscript"/>
              </w:rPr>
              <w:t>th</w:t>
            </w:r>
            <w:r w:rsidRPr="002B0C92">
              <w:rPr>
                <w:rFonts w:ascii="Arial" w:hAnsi="Arial" w:cs="Arial"/>
                <w:sz w:val="22"/>
                <w:szCs w:val="22"/>
              </w:rPr>
              <w:t xml:space="preserve"> week of pregnancy.  </w:t>
            </w:r>
          </w:p>
          <w:p w:rsidR="00281D13" w:rsidRPr="002B0C92" w:rsidRDefault="00281D13" w:rsidP="00281D13">
            <w:pPr>
              <w:pStyle w:val="NoSpacing"/>
              <w:rPr>
                <w:rFonts w:ascii="Arial" w:hAnsi="Arial" w:cs="Arial"/>
                <w:sz w:val="22"/>
                <w:szCs w:val="22"/>
              </w:rPr>
            </w:pPr>
          </w:p>
          <w:p w:rsidR="003329F6" w:rsidRPr="002B0C92" w:rsidRDefault="003329F6" w:rsidP="00281D13">
            <w:pPr>
              <w:pStyle w:val="NoSpacing"/>
              <w:rPr>
                <w:rFonts w:ascii="Arial" w:hAnsi="Arial" w:cs="Arial"/>
                <w:sz w:val="22"/>
                <w:szCs w:val="22"/>
              </w:rPr>
            </w:pPr>
            <w:r w:rsidRPr="002B0C92">
              <w:rPr>
                <w:rFonts w:ascii="Arial" w:hAnsi="Arial" w:cs="Arial"/>
                <w:sz w:val="22"/>
                <w:szCs w:val="22"/>
              </w:rPr>
              <w:t>Bloods should be checked every 3 months during pregnancy</w:t>
            </w:r>
          </w:p>
          <w:p w:rsidR="00281D13" w:rsidRPr="002B0C92" w:rsidRDefault="00281D13" w:rsidP="00281D13">
            <w:pPr>
              <w:pStyle w:val="NoSpacing"/>
              <w:rPr>
                <w:rFonts w:ascii="Arial" w:hAnsi="Arial" w:cs="Arial"/>
                <w:i/>
                <w:sz w:val="22"/>
                <w:szCs w:val="22"/>
              </w:rPr>
            </w:pPr>
          </w:p>
          <w:p w:rsidR="00C53BE6" w:rsidRPr="002B0C92" w:rsidRDefault="00C53BE6" w:rsidP="005A3308">
            <w:pPr>
              <w:autoSpaceDE w:val="0"/>
              <w:autoSpaceDN w:val="0"/>
              <w:adjustRightInd w:val="0"/>
              <w:spacing w:line="300" w:lineRule="exact"/>
              <w:rPr>
                <w:rFonts w:ascii="Arial" w:hAnsi="Arial" w:cs="Arial"/>
                <w:b/>
                <w:sz w:val="22"/>
                <w:szCs w:val="22"/>
              </w:rPr>
            </w:pPr>
            <w:r w:rsidRPr="002B0C92">
              <w:rPr>
                <w:rFonts w:ascii="Arial" w:hAnsi="Arial" w:cs="Arial"/>
                <w:b/>
                <w:sz w:val="22"/>
                <w:szCs w:val="22"/>
              </w:rPr>
              <w:t>References</w:t>
            </w:r>
          </w:p>
          <w:p w:rsidR="00C53BE6" w:rsidRPr="002B0C92" w:rsidRDefault="00C53BE6" w:rsidP="00C53BE6">
            <w:pPr>
              <w:autoSpaceDE w:val="0"/>
              <w:autoSpaceDN w:val="0"/>
              <w:adjustRightInd w:val="0"/>
              <w:spacing w:line="300" w:lineRule="exact"/>
              <w:rPr>
                <w:rFonts w:ascii="Arial" w:hAnsi="Arial" w:cs="Arial"/>
                <w:sz w:val="22"/>
                <w:szCs w:val="22"/>
              </w:rPr>
            </w:pPr>
            <w:r w:rsidRPr="002B0C92">
              <w:rPr>
                <w:rFonts w:ascii="Arial" w:hAnsi="Arial" w:cs="Arial"/>
                <w:sz w:val="22"/>
                <w:szCs w:val="22"/>
              </w:rPr>
              <w:t xml:space="preserve">1. British Obesity &amp; Metabolic Surgery Society, GP guidance: Management of nutrition following bariatric surgery; </w:t>
            </w:r>
            <w:hyperlink r:id="rId9" w:history="1">
              <w:r w:rsidRPr="002B0C92">
                <w:rPr>
                  <w:rStyle w:val="Hyperlink"/>
                  <w:rFonts w:ascii="Arial" w:hAnsi="Arial" w:cs="Arial"/>
                  <w:sz w:val="22"/>
                  <w:szCs w:val="22"/>
                </w:rPr>
                <w:t>http://www.bomss.org.uk/nutritional-guidelines</w:t>
              </w:r>
            </w:hyperlink>
            <w:r w:rsidRPr="002B0C92">
              <w:rPr>
                <w:rFonts w:ascii="Arial" w:hAnsi="Arial" w:cs="Arial"/>
                <w:sz w:val="22"/>
                <w:szCs w:val="22"/>
              </w:rPr>
              <w:t xml:space="preserve">   (January 2016)</w:t>
            </w:r>
          </w:p>
          <w:p w:rsidR="00C53BE6" w:rsidRPr="002B0C92" w:rsidRDefault="00C53BE6" w:rsidP="00C53BE6">
            <w:pPr>
              <w:autoSpaceDE w:val="0"/>
              <w:autoSpaceDN w:val="0"/>
              <w:adjustRightInd w:val="0"/>
              <w:spacing w:line="300" w:lineRule="exact"/>
              <w:rPr>
                <w:rFonts w:ascii="Arial" w:hAnsi="Arial" w:cs="Arial"/>
                <w:sz w:val="22"/>
                <w:szCs w:val="22"/>
              </w:rPr>
            </w:pPr>
            <w:r w:rsidRPr="002B0C92">
              <w:rPr>
                <w:rFonts w:ascii="Arial" w:hAnsi="Arial" w:cs="Arial"/>
                <w:sz w:val="22"/>
                <w:szCs w:val="22"/>
              </w:rPr>
              <w:lastRenderedPageBreak/>
              <w:t>2. BMJ 2016; 352:i945 – Primary care management of patients after weight loss surgery (Published 10 March 2016)</w:t>
            </w:r>
          </w:p>
          <w:p w:rsidR="00C53BE6" w:rsidRPr="002B0C92" w:rsidRDefault="00C53BE6" w:rsidP="00C53BE6">
            <w:pPr>
              <w:autoSpaceDE w:val="0"/>
              <w:autoSpaceDN w:val="0"/>
              <w:adjustRightInd w:val="0"/>
              <w:spacing w:line="300" w:lineRule="exact"/>
              <w:rPr>
                <w:rFonts w:ascii="Arial" w:hAnsi="Arial" w:cs="Arial"/>
                <w:sz w:val="22"/>
                <w:szCs w:val="22"/>
              </w:rPr>
            </w:pPr>
            <w:r w:rsidRPr="002B0C92">
              <w:rPr>
                <w:rFonts w:ascii="Arial" w:hAnsi="Arial" w:cs="Arial"/>
                <w:sz w:val="22"/>
                <w:szCs w:val="22"/>
              </w:rPr>
              <w:t xml:space="preserve">3. NICE Obesity: identification, assessment and management of overweight and obesity in children, young people and adults; </w:t>
            </w:r>
            <w:hyperlink r:id="rId10" w:history="1">
              <w:r w:rsidRPr="002B0C92">
                <w:rPr>
                  <w:rStyle w:val="Hyperlink"/>
                  <w:rFonts w:ascii="Arial" w:hAnsi="Arial" w:cs="Arial"/>
                  <w:sz w:val="22"/>
                  <w:szCs w:val="22"/>
                </w:rPr>
                <w:t>http://www.nice.org.uk/guidance/cg189/chapter/1-recommendations</w:t>
              </w:r>
            </w:hyperlink>
            <w:r w:rsidRPr="002B0C92">
              <w:rPr>
                <w:rFonts w:ascii="Arial" w:hAnsi="Arial" w:cs="Arial"/>
                <w:sz w:val="22"/>
                <w:szCs w:val="22"/>
              </w:rPr>
              <w:t xml:space="preserve">  (March 2015)</w:t>
            </w:r>
          </w:p>
          <w:p w:rsidR="00C53BE6" w:rsidRPr="002B0C92" w:rsidRDefault="00C53BE6" w:rsidP="00C53BE6">
            <w:pPr>
              <w:autoSpaceDE w:val="0"/>
              <w:autoSpaceDN w:val="0"/>
              <w:adjustRightInd w:val="0"/>
              <w:spacing w:line="300" w:lineRule="exact"/>
              <w:rPr>
                <w:rFonts w:ascii="Arial" w:hAnsi="Arial" w:cs="Arial"/>
                <w:sz w:val="22"/>
                <w:szCs w:val="22"/>
              </w:rPr>
            </w:pPr>
            <w:r w:rsidRPr="002B0C92">
              <w:rPr>
                <w:rFonts w:ascii="Arial" w:hAnsi="Arial" w:cs="Arial"/>
                <w:sz w:val="22"/>
                <w:szCs w:val="22"/>
              </w:rPr>
              <w:t xml:space="preserve">4. </w:t>
            </w:r>
            <w:proofErr w:type="spellStart"/>
            <w:r w:rsidRPr="002B0C92">
              <w:rPr>
                <w:rFonts w:ascii="Arial" w:hAnsi="Arial" w:cs="Arial"/>
                <w:sz w:val="22"/>
                <w:szCs w:val="22"/>
              </w:rPr>
              <w:t>PrescQIPP</w:t>
            </w:r>
            <w:proofErr w:type="spellEnd"/>
            <w:r w:rsidRPr="002B0C92">
              <w:rPr>
                <w:rFonts w:ascii="Arial" w:hAnsi="Arial" w:cs="Arial"/>
                <w:sz w:val="22"/>
                <w:szCs w:val="22"/>
              </w:rPr>
              <w:t xml:space="preserve"> bulletin 54, Bariatric surgery patients and their medicines; http://www.prescqipp.info/bariatric- patients-their-medicines/finish/226-bariatric-patients-and-their-medicines/1290-bulletin-54-bariatric-surgery- patients-and-their-medicine    (March 2015)</w:t>
            </w:r>
          </w:p>
        </w:tc>
      </w:tr>
      <w:tr w:rsidR="00926DA3" w:rsidRPr="00C115A9" w:rsidTr="00707866">
        <w:trPr>
          <w:trHeight w:val="64"/>
        </w:trPr>
        <w:tc>
          <w:tcPr>
            <w:tcW w:w="9159" w:type="dxa"/>
            <w:shd w:val="clear" w:color="auto" w:fill="595959"/>
          </w:tcPr>
          <w:p w:rsidR="00926DA3" w:rsidRPr="002B0C92" w:rsidRDefault="00926DA3" w:rsidP="003A3A05">
            <w:pPr>
              <w:spacing w:after="0" w:line="276" w:lineRule="auto"/>
              <w:rPr>
                <w:rFonts w:ascii="Arial" w:hAnsi="Arial" w:cs="Arial"/>
                <w:b/>
                <w:color w:val="F79646"/>
                <w:sz w:val="22"/>
                <w:szCs w:val="22"/>
              </w:rPr>
            </w:pPr>
            <w:r w:rsidRPr="002B0C92">
              <w:rPr>
                <w:rFonts w:ascii="Arial" w:hAnsi="Arial" w:cs="Arial"/>
                <w:b/>
                <w:color w:val="F79646"/>
                <w:sz w:val="22"/>
                <w:szCs w:val="22"/>
              </w:rPr>
              <w:lastRenderedPageBreak/>
              <w:t>5.</w:t>
            </w:r>
            <w:r w:rsidRPr="002B0C92">
              <w:rPr>
                <w:rFonts w:ascii="Arial" w:hAnsi="Arial" w:cs="Arial"/>
                <w:b/>
                <w:color w:val="F79646"/>
                <w:sz w:val="22"/>
                <w:szCs w:val="22"/>
              </w:rPr>
              <w:tab/>
              <w:t>Applicable quality requirements and CQUIN goals</w:t>
            </w:r>
          </w:p>
        </w:tc>
      </w:tr>
      <w:tr w:rsidR="00926DA3" w:rsidRPr="00C115A9" w:rsidTr="00707866">
        <w:trPr>
          <w:trHeight w:val="64"/>
        </w:trPr>
        <w:tc>
          <w:tcPr>
            <w:tcW w:w="9159" w:type="dxa"/>
            <w:shd w:val="clear" w:color="auto" w:fill="auto"/>
          </w:tcPr>
          <w:p w:rsidR="00926DA3" w:rsidRPr="002B0C92" w:rsidRDefault="00926DA3" w:rsidP="003A3A05">
            <w:pPr>
              <w:spacing w:after="0"/>
              <w:rPr>
                <w:rFonts w:ascii="Arial" w:hAnsi="Arial" w:cs="Arial"/>
                <w:sz w:val="22"/>
                <w:szCs w:val="22"/>
              </w:rPr>
            </w:pPr>
          </w:p>
          <w:p w:rsidR="00926DA3" w:rsidRPr="002B0C92" w:rsidRDefault="00926DA3" w:rsidP="00926DA3">
            <w:pPr>
              <w:pStyle w:val="ListParagraph"/>
              <w:numPr>
                <w:ilvl w:val="1"/>
                <w:numId w:val="3"/>
              </w:numPr>
              <w:ind w:left="743" w:hanging="743"/>
              <w:rPr>
                <w:rFonts w:ascii="Arial" w:hAnsi="Arial" w:cs="Arial"/>
                <w:b/>
                <w:sz w:val="22"/>
                <w:szCs w:val="22"/>
              </w:rPr>
            </w:pPr>
            <w:r w:rsidRPr="002B0C92">
              <w:rPr>
                <w:rFonts w:ascii="Arial" w:hAnsi="Arial" w:cs="Arial"/>
                <w:b/>
                <w:sz w:val="22"/>
                <w:szCs w:val="22"/>
              </w:rPr>
              <w:t xml:space="preserve">Applicable Quality Requirements </w:t>
            </w:r>
          </w:p>
          <w:p w:rsidR="00C53BE6" w:rsidRPr="002B0C92" w:rsidRDefault="00C53BE6" w:rsidP="00C53BE6">
            <w:pPr>
              <w:rPr>
                <w:rFonts w:ascii="Arial" w:hAnsi="Arial" w:cs="Arial"/>
                <w:b/>
                <w:sz w:val="22"/>
                <w:szCs w:val="22"/>
              </w:rPr>
            </w:pPr>
          </w:p>
          <w:p w:rsidR="00C53BE6" w:rsidRPr="002B0C92" w:rsidRDefault="00C53BE6" w:rsidP="00C53BE6">
            <w:pPr>
              <w:rPr>
                <w:rFonts w:ascii="Arial" w:hAnsi="Arial" w:cs="Arial"/>
                <w:b/>
                <w:i/>
                <w:sz w:val="22"/>
                <w:szCs w:val="22"/>
              </w:rPr>
            </w:pPr>
            <w:r w:rsidRPr="002B0C92">
              <w:rPr>
                <w:rFonts w:ascii="Arial" w:hAnsi="Arial" w:cs="Arial"/>
                <w:b/>
                <w:i/>
                <w:sz w:val="22"/>
                <w:szCs w:val="22"/>
              </w:rPr>
              <w:t>To be suggested by Secondary Care</w:t>
            </w:r>
          </w:p>
          <w:p w:rsidR="00C53BE6" w:rsidRPr="002B0C92" w:rsidRDefault="00C53BE6" w:rsidP="00C53BE6">
            <w:pPr>
              <w:rPr>
                <w:rFonts w:ascii="Arial" w:hAnsi="Arial" w:cs="Arial"/>
                <w:b/>
                <w:i/>
                <w:sz w:val="22"/>
                <w:szCs w:val="22"/>
              </w:rPr>
            </w:pPr>
          </w:p>
          <w:p w:rsidR="00C53BE6" w:rsidRPr="002B0C92" w:rsidRDefault="00C53BE6" w:rsidP="00C53BE6">
            <w:pPr>
              <w:rPr>
                <w:rFonts w:ascii="Arial" w:hAnsi="Arial" w:cs="Arial"/>
                <w:sz w:val="22"/>
                <w:szCs w:val="22"/>
              </w:rPr>
            </w:pPr>
            <w:r w:rsidRPr="002B0C92">
              <w:rPr>
                <w:rFonts w:ascii="Arial" w:hAnsi="Arial" w:cs="Arial"/>
                <w:sz w:val="22"/>
                <w:szCs w:val="22"/>
              </w:rPr>
              <w:t>Read codes will be provided for all patients being actively monitored.  Practices will give consent to the CCG undertaking data extraction to monitor numbers of managed patients so that funding can be appropriately directed to practices and patient outcomes actively monitored</w:t>
            </w:r>
          </w:p>
          <w:p w:rsidR="00595DE3" w:rsidRPr="002B0C92" w:rsidRDefault="00595DE3" w:rsidP="00595DE3">
            <w:pPr>
              <w:pStyle w:val="ListParagraph"/>
              <w:ind w:left="743"/>
              <w:rPr>
                <w:rFonts w:ascii="Arial" w:hAnsi="Arial" w:cs="Arial"/>
                <w:b/>
                <w:sz w:val="22"/>
                <w:szCs w:val="22"/>
              </w:rPr>
            </w:pPr>
          </w:p>
          <w:p w:rsidR="00595DE3" w:rsidRPr="002B0C92" w:rsidRDefault="00595DE3" w:rsidP="00595DE3">
            <w:pPr>
              <w:pStyle w:val="ListParagraph"/>
              <w:numPr>
                <w:ilvl w:val="1"/>
                <w:numId w:val="3"/>
              </w:numPr>
              <w:spacing w:line="300" w:lineRule="exact"/>
              <w:ind w:left="743" w:hanging="743"/>
              <w:rPr>
                <w:rFonts w:ascii="Arial" w:hAnsi="Arial" w:cs="Arial"/>
                <w:b/>
                <w:sz w:val="22"/>
                <w:szCs w:val="22"/>
              </w:rPr>
            </w:pPr>
            <w:r w:rsidRPr="002B0C92">
              <w:rPr>
                <w:rFonts w:ascii="Arial" w:hAnsi="Arial" w:cs="Arial"/>
                <w:b/>
                <w:sz w:val="22"/>
                <w:szCs w:val="22"/>
              </w:rPr>
              <w:t>Applicable CQUIN goals (See Schedule 4 Part [E])</w:t>
            </w:r>
          </w:p>
          <w:p w:rsidR="00926DA3" w:rsidRPr="002B0C92" w:rsidRDefault="00926DA3" w:rsidP="003A3A05">
            <w:pPr>
              <w:spacing w:after="0"/>
              <w:rPr>
                <w:rFonts w:ascii="Arial" w:hAnsi="Arial" w:cs="Arial"/>
                <w:sz w:val="22"/>
                <w:szCs w:val="22"/>
              </w:rPr>
            </w:pPr>
          </w:p>
          <w:p w:rsidR="00926DA3" w:rsidRPr="002B0C92" w:rsidRDefault="00C53BE6" w:rsidP="00C53BE6">
            <w:pPr>
              <w:spacing w:after="0"/>
              <w:rPr>
                <w:rFonts w:ascii="Arial" w:hAnsi="Arial" w:cs="Arial"/>
                <w:sz w:val="22"/>
                <w:szCs w:val="22"/>
              </w:rPr>
            </w:pPr>
            <w:r w:rsidRPr="002B0C92">
              <w:rPr>
                <w:rFonts w:ascii="Arial" w:hAnsi="Arial" w:cs="Arial"/>
                <w:sz w:val="22"/>
                <w:szCs w:val="22"/>
              </w:rPr>
              <w:t>Not applicable for this Service</w:t>
            </w:r>
          </w:p>
          <w:p w:rsidR="00C53BE6" w:rsidRPr="002B0C92" w:rsidRDefault="00C53BE6" w:rsidP="00C53BE6">
            <w:pPr>
              <w:spacing w:after="0"/>
              <w:rPr>
                <w:rFonts w:ascii="Arial" w:hAnsi="Arial" w:cs="Arial"/>
                <w:sz w:val="22"/>
                <w:szCs w:val="22"/>
              </w:rPr>
            </w:pPr>
          </w:p>
        </w:tc>
      </w:tr>
      <w:tr w:rsidR="00926DA3" w:rsidRPr="00C115A9" w:rsidTr="00707866">
        <w:trPr>
          <w:trHeight w:val="64"/>
        </w:trPr>
        <w:tc>
          <w:tcPr>
            <w:tcW w:w="9159" w:type="dxa"/>
            <w:shd w:val="clear" w:color="auto" w:fill="595959"/>
          </w:tcPr>
          <w:p w:rsidR="00926DA3" w:rsidRPr="00C115A9" w:rsidRDefault="00926DA3" w:rsidP="003A3A05">
            <w:pPr>
              <w:spacing w:after="0" w:line="276" w:lineRule="auto"/>
              <w:rPr>
                <w:rFonts w:ascii="Arial" w:hAnsi="Arial" w:cs="Arial"/>
                <w:b/>
                <w:color w:val="F79646"/>
                <w:sz w:val="20"/>
              </w:rPr>
            </w:pPr>
            <w:r w:rsidRPr="00C115A9">
              <w:rPr>
                <w:rFonts w:ascii="Arial" w:hAnsi="Arial" w:cs="Arial"/>
                <w:b/>
                <w:color w:val="F79646"/>
                <w:sz w:val="20"/>
              </w:rPr>
              <w:t>6.</w:t>
            </w:r>
            <w:r w:rsidRPr="00C115A9">
              <w:rPr>
                <w:rFonts w:ascii="Arial" w:hAnsi="Arial" w:cs="Arial"/>
                <w:b/>
                <w:color w:val="F79646"/>
                <w:sz w:val="20"/>
              </w:rPr>
              <w:tab/>
            </w:r>
            <w:r w:rsidRPr="007A5435">
              <w:rPr>
                <w:rFonts w:ascii="Arial" w:hAnsi="Arial" w:cs="Arial"/>
                <w:b/>
                <w:color w:val="F79646"/>
                <w:sz w:val="22"/>
                <w:szCs w:val="22"/>
              </w:rPr>
              <w:t>Location of Provider Premises</w:t>
            </w:r>
          </w:p>
        </w:tc>
      </w:tr>
      <w:tr w:rsidR="00926DA3" w:rsidRPr="00C115A9" w:rsidTr="00707866">
        <w:trPr>
          <w:trHeight w:val="64"/>
        </w:trPr>
        <w:tc>
          <w:tcPr>
            <w:tcW w:w="9159" w:type="dxa"/>
            <w:shd w:val="clear" w:color="auto" w:fill="auto"/>
          </w:tcPr>
          <w:p w:rsidR="00D57AB5" w:rsidRDefault="00D57AB5" w:rsidP="00D57AB5">
            <w:pPr>
              <w:spacing w:after="0"/>
              <w:rPr>
                <w:rFonts w:ascii="Arial" w:hAnsi="Arial" w:cs="Arial"/>
                <w:b/>
                <w:sz w:val="20"/>
              </w:rPr>
            </w:pPr>
          </w:p>
          <w:p w:rsidR="000117C1" w:rsidRPr="00AE6E56" w:rsidRDefault="000117C1" w:rsidP="000117C1">
            <w:pPr>
              <w:spacing w:after="0"/>
              <w:rPr>
                <w:rFonts w:ascii="Arial" w:hAnsi="Arial" w:cs="Arial"/>
                <w:b/>
                <w:i/>
                <w:sz w:val="20"/>
              </w:rPr>
            </w:pPr>
            <w:r w:rsidRPr="00A810D5">
              <w:rPr>
                <w:rFonts w:ascii="Arial" w:hAnsi="Arial" w:cs="Arial"/>
                <w:b/>
                <w:sz w:val="20"/>
              </w:rPr>
              <w:t>The Provider’s Premises are located at:</w:t>
            </w:r>
            <w:r>
              <w:rPr>
                <w:rFonts w:ascii="Arial" w:hAnsi="Arial" w:cs="Arial"/>
                <w:b/>
                <w:sz w:val="20"/>
              </w:rPr>
              <w:t xml:space="preserve"> </w:t>
            </w:r>
            <w:r>
              <w:rPr>
                <w:rFonts w:ascii="Arial" w:hAnsi="Arial" w:cs="Arial"/>
                <w:b/>
                <w:i/>
                <w:sz w:val="20"/>
              </w:rPr>
              <w:t>Telford and Wrekin CCG GP Practice (this will be personalised when added to the NHS Standard Contract</w:t>
            </w:r>
            <w:r w:rsidR="00AA6559">
              <w:rPr>
                <w:rFonts w:ascii="Arial" w:hAnsi="Arial" w:cs="Arial"/>
                <w:b/>
                <w:i/>
                <w:sz w:val="20"/>
              </w:rPr>
              <w:t>)</w:t>
            </w:r>
            <w:r>
              <w:rPr>
                <w:rFonts w:ascii="Arial" w:hAnsi="Arial" w:cs="Arial"/>
                <w:b/>
                <w:i/>
                <w:sz w:val="20"/>
              </w:rPr>
              <w:t>.</w:t>
            </w:r>
          </w:p>
          <w:p w:rsidR="00926DA3" w:rsidRPr="00C115A9" w:rsidRDefault="00926DA3" w:rsidP="000117C1">
            <w:pPr>
              <w:spacing w:after="0"/>
              <w:rPr>
                <w:rFonts w:ascii="Arial" w:hAnsi="Arial" w:cs="Arial"/>
                <w:sz w:val="20"/>
              </w:rPr>
            </w:pPr>
          </w:p>
        </w:tc>
      </w:tr>
      <w:tr w:rsidR="00926DA3" w:rsidRPr="00C115A9" w:rsidTr="00707866">
        <w:trPr>
          <w:trHeight w:val="64"/>
        </w:trPr>
        <w:tc>
          <w:tcPr>
            <w:tcW w:w="9159" w:type="dxa"/>
            <w:shd w:val="clear" w:color="auto" w:fill="009966"/>
          </w:tcPr>
          <w:p w:rsidR="00926DA3" w:rsidRPr="00C115A9" w:rsidRDefault="00926DA3" w:rsidP="003A3A05">
            <w:pPr>
              <w:spacing w:after="0" w:line="276" w:lineRule="auto"/>
              <w:rPr>
                <w:rFonts w:ascii="Arial" w:hAnsi="Arial" w:cs="Arial"/>
                <w:b/>
                <w:color w:val="FFFFFF"/>
                <w:sz w:val="20"/>
              </w:rPr>
            </w:pPr>
          </w:p>
        </w:tc>
      </w:tr>
      <w:tr w:rsidR="00926DA3" w:rsidRPr="00C115A9" w:rsidTr="00707866">
        <w:trPr>
          <w:trHeight w:val="64"/>
        </w:trPr>
        <w:tc>
          <w:tcPr>
            <w:tcW w:w="9159" w:type="dxa"/>
            <w:shd w:val="clear" w:color="auto" w:fill="auto"/>
          </w:tcPr>
          <w:p w:rsidR="00926DA3" w:rsidRPr="00C115A9" w:rsidRDefault="00926DA3" w:rsidP="003A3A05">
            <w:pPr>
              <w:spacing w:after="0"/>
              <w:rPr>
                <w:rFonts w:ascii="Arial" w:hAnsi="Arial" w:cs="Arial"/>
                <w:sz w:val="20"/>
              </w:rPr>
            </w:pPr>
          </w:p>
          <w:p w:rsidR="00926DA3" w:rsidRPr="00C115A9" w:rsidRDefault="00926DA3" w:rsidP="003A3A05">
            <w:pPr>
              <w:spacing w:after="0"/>
              <w:rPr>
                <w:rFonts w:ascii="Arial" w:hAnsi="Arial" w:cs="Arial"/>
                <w:sz w:val="20"/>
              </w:rPr>
            </w:pPr>
          </w:p>
          <w:p w:rsidR="00926DA3" w:rsidRPr="00C115A9" w:rsidRDefault="00926DA3" w:rsidP="003A3A05">
            <w:pPr>
              <w:spacing w:after="0"/>
              <w:rPr>
                <w:rFonts w:ascii="Arial" w:hAnsi="Arial" w:cs="Arial"/>
                <w:sz w:val="20"/>
              </w:rPr>
            </w:pPr>
          </w:p>
          <w:p w:rsidR="00926DA3" w:rsidRPr="00C115A9" w:rsidRDefault="00926DA3" w:rsidP="003A3A05">
            <w:pPr>
              <w:spacing w:after="0"/>
              <w:rPr>
                <w:rFonts w:ascii="Arial" w:hAnsi="Arial" w:cs="Arial"/>
                <w:sz w:val="20"/>
              </w:rPr>
            </w:pPr>
          </w:p>
        </w:tc>
      </w:tr>
    </w:tbl>
    <w:p w:rsidR="00595DE3" w:rsidRPr="00C115A9" w:rsidRDefault="00595DE3" w:rsidP="00595DE3">
      <w:pPr>
        <w:spacing w:after="0"/>
        <w:rPr>
          <w:rFonts w:ascii="Arial" w:hAnsi="Arial" w:cs="Arial"/>
          <w:sz w:val="20"/>
        </w:rPr>
      </w:pPr>
    </w:p>
    <w:sectPr w:rsidR="00595DE3" w:rsidRPr="00C115A9" w:rsidSect="00707866">
      <w:headerReference w:type="even" r:id="rId11"/>
      <w:headerReference w:type="default" r:id="rId12"/>
      <w:footerReference w:type="even" r:id="rId13"/>
      <w:footerReference w:type="default" r:id="rId14"/>
      <w:headerReference w:type="first" r:id="rId15"/>
      <w:footerReference w:type="first" r:id="rId16"/>
      <w:pgSz w:w="11906" w:h="16838"/>
      <w:pgMar w:top="1247" w:right="1191" w:bottom="1134" w:left="119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2FC1" w:rsidRDefault="006B2FC1" w:rsidP="0036539D">
      <w:pPr>
        <w:spacing w:after="0"/>
      </w:pPr>
      <w:r>
        <w:separator/>
      </w:r>
    </w:p>
  </w:endnote>
  <w:endnote w:type="continuationSeparator" w:id="0">
    <w:p w:rsidR="006B2FC1" w:rsidRDefault="006B2FC1" w:rsidP="0036539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823" w:rsidRDefault="001038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823" w:rsidRDefault="00103823">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823" w:rsidRDefault="0010382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2FC1" w:rsidRDefault="006B2FC1" w:rsidP="0036539D">
      <w:pPr>
        <w:spacing w:after="0"/>
      </w:pPr>
      <w:r>
        <w:separator/>
      </w:r>
    </w:p>
  </w:footnote>
  <w:footnote w:type="continuationSeparator" w:id="0">
    <w:p w:rsidR="006B2FC1" w:rsidRDefault="006B2FC1" w:rsidP="0036539D">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823" w:rsidRDefault="0010382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823" w:rsidRDefault="00103823">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03823" w:rsidRDefault="0010382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6B62A8C"/>
    <w:lvl w:ilvl="0">
      <w:numFmt w:val="bullet"/>
      <w:lvlText w:val="*"/>
      <w:lvlJc w:val="left"/>
    </w:lvl>
  </w:abstractNum>
  <w:abstractNum w:abstractNumId="1">
    <w:nsid w:val="080420FB"/>
    <w:multiLevelType w:val="singleLevel"/>
    <w:tmpl w:val="7550F9A2"/>
    <w:lvl w:ilvl="0">
      <w:start w:val="1"/>
      <w:numFmt w:val="decimal"/>
      <w:lvlText w:val="%1."/>
      <w:legacy w:legacy="1" w:legacySpace="120" w:legacyIndent="360"/>
      <w:lvlJc w:val="left"/>
      <w:pPr>
        <w:ind w:left="1080" w:hanging="360"/>
      </w:pPr>
    </w:lvl>
  </w:abstractNum>
  <w:abstractNum w:abstractNumId="2">
    <w:nsid w:val="0F6968B8"/>
    <w:multiLevelType w:val="hybridMultilevel"/>
    <w:tmpl w:val="6DD28B4E"/>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
    <w:nsid w:val="0F7F3F32"/>
    <w:multiLevelType w:val="hybridMultilevel"/>
    <w:tmpl w:val="3E02504A"/>
    <w:lvl w:ilvl="0" w:tplc="684CB96E">
      <w:start w:val="1"/>
      <w:numFmt w:val="decimal"/>
      <w:lvlText w:val="(%1)"/>
      <w:lvlJc w:val="left"/>
      <w:pPr>
        <w:tabs>
          <w:tab w:val="num" w:pos="720"/>
        </w:tabs>
        <w:ind w:left="720" w:hanging="360"/>
      </w:pPr>
      <w:rPr>
        <w:rFonts w:hint="default"/>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nsid w:val="1133136D"/>
    <w:multiLevelType w:val="hybridMultilevel"/>
    <w:tmpl w:val="8CE81580"/>
    <w:lvl w:ilvl="0" w:tplc="438A93B6">
      <w:start w:val="1"/>
      <w:numFmt w:val="bullet"/>
      <w:lvlText w:val=""/>
      <w:lvlJc w:val="left"/>
      <w:pPr>
        <w:ind w:left="1080" w:hanging="360"/>
      </w:pPr>
      <w:rPr>
        <w:rFonts w:ascii="Symbol" w:hAnsi="Symbol" w:hint="default"/>
        <w:color w:val="auto"/>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13404458"/>
    <w:multiLevelType w:val="hybridMultilevel"/>
    <w:tmpl w:val="BC16241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77B7D82"/>
    <w:multiLevelType w:val="hybridMultilevel"/>
    <w:tmpl w:val="73F02A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9D23DFD"/>
    <w:multiLevelType w:val="hybridMultilevel"/>
    <w:tmpl w:val="CBE4A66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8">
    <w:nsid w:val="1D504DD3"/>
    <w:multiLevelType w:val="hybridMultilevel"/>
    <w:tmpl w:val="B1303452"/>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9">
    <w:nsid w:val="26012759"/>
    <w:multiLevelType w:val="hybridMultilevel"/>
    <w:tmpl w:val="81E25B6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6F13619"/>
    <w:multiLevelType w:val="hybridMultilevel"/>
    <w:tmpl w:val="ABDEEF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E6C108E"/>
    <w:multiLevelType w:val="hybridMultilevel"/>
    <w:tmpl w:val="820A2EA8"/>
    <w:lvl w:ilvl="0" w:tplc="08090001">
      <w:start w:val="1"/>
      <w:numFmt w:val="bullet"/>
      <w:lvlText w:val=""/>
      <w:lvlJc w:val="left"/>
      <w:pPr>
        <w:tabs>
          <w:tab w:val="num" w:pos="720"/>
        </w:tabs>
        <w:ind w:left="720" w:hanging="360"/>
      </w:pPr>
      <w:rPr>
        <w:rFonts w:ascii="Symbol" w:hAnsi="Symbol"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2">
    <w:nsid w:val="2E95597A"/>
    <w:multiLevelType w:val="multilevel"/>
    <w:tmpl w:val="7862B80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319B483C"/>
    <w:multiLevelType w:val="hybridMultilevel"/>
    <w:tmpl w:val="E5EC53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348B666A"/>
    <w:multiLevelType w:val="hybridMultilevel"/>
    <w:tmpl w:val="5CCEB9B0"/>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nsid w:val="362857D4"/>
    <w:multiLevelType w:val="hybridMultilevel"/>
    <w:tmpl w:val="331046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DD31690"/>
    <w:multiLevelType w:val="hybridMultilevel"/>
    <w:tmpl w:val="81FC1CE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411A5209"/>
    <w:multiLevelType w:val="hybridMultilevel"/>
    <w:tmpl w:val="BE24E47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18">
    <w:nsid w:val="421B494E"/>
    <w:multiLevelType w:val="hybridMultilevel"/>
    <w:tmpl w:val="A2C872E4"/>
    <w:lvl w:ilvl="0" w:tplc="9F761FB4">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9">
    <w:nsid w:val="423410F1"/>
    <w:multiLevelType w:val="hybridMultilevel"/>
    <w:tmpl w:val="63BE0F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42E479C3"/>
    <w:multiLevelType w:val="hybridMultilevel"/>
    <w:tmpl w:val="EE6C43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3902570"/>
    <w:multiLevelType w:val="hybridMultilevel"/>
    <w:tmpl w:val="D9CACBD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2">
    <w:nsid w:val="47793A50"/>
    <w:multiLevelType w:val="hybridMultilevel"/>
    <w:tmpl w:val="9C40A94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4B537E14"/>
    <w:multiLevelType w:val="hybridMultilevel"/>
    <w:tmpl w:val="22627E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4E17087C"/>
    <w:multiLevelType w:val="hybridMultilevel"/>
    <w:tmpl w:val="36C6B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52C46854"/>
    <w:multiLevelType w:val="multilevel"/>
    <w:tmpl w:val="9170FD66"/>
    <w:lvl w:ilvl="0">
      <w:start w:val="3"/>
      <w:numFmt w:val="decimal"/>
      <w:lvlText w:val="%1"/>
      <w:lvlJc w:val="left"/>
      <w:pPr>
        <w:ind w:left="827" w:hanging="720"/>
      </w:pPr>
      <w:rPr>
        <w:rFonts w:hint="default"/>
      </w:rPr>
    </w:lvl>
    <w:lvl w:ilvl="1">
      <w:start w:val="1"/>
      <w:numFmt w:val="decimal"/>
      <w:lvlText w:val="%1.%2"/>
      <w:lvlJc w:val="left"/>
      <w:pPr>
        <w:ind w:left="827" w:hanging="720"/>
      </w:pPr>
      <w:rPr>
        <w:rFonts w:ascii="Arial" w:eastAsia="Arial" w:hAnsi="Arial" w:cs="Arial" w:hint="default"/>
        <w:b/>
        <w:bCs/>
        <w:color w:val="009966"/>
        <w:spacing w:val="-1"/>
        <w:w w:val="99"/>
        <w:sz w:val="20"/>
        <w:szCs w:val="20"/>
      </w:rPr>
    </w:lvl>
    <w:lvl w:ilvl="2">
      <w:start w:val="1"/>
      <w:numFmt w:val="decimal"/>
      <w:lvlText w:val="%1.%2.%3"/>
      <w:lvlJc w:val="left"/>
      <w:pPr>
        <w:ind w:left="952" w:hanging="737"/>
      </w:pPr>
      <w:rPr>
        <w:rFonts w:ascii="Arial" w:eastAsia="Arial" w:hAnsi="Arial" w:cs="Arial" w:hint="default"/>
        <w:spacing w:val="-1"/>
        <w:w w:val="99"/>
        <w:sz w:val="20"/>
        <w:szCs w:val="20"/>
      </w:rPr>
    </w:lvl>
    <w:lvl w:ilvl="3">
      <w:numFmt w:val="bullet"/>
      <w:lvlText w:val="•"/>
      <w:lvlJc w:val="left"/>
      <w:pPr>
        <w:ind w:left="1600" w:hanging="737"/>
      </w:pPr>
      <w:rPr>
        <w:rFonts w:hint="default"/>
      </w:rPr>
    </w:lvl>
    <w:lvl w:ilvl="4">
      <w:numFmt w:val="bullet"/>
      <w:lvlText w:val="•"/>
      <w:lvlJc w:val="left"/>
      <w:pPr>
        <w:ind w:left="2573" w:hanging="737"/>
      </w:pPr>
      <w:rPr>
        <w:rFonts w:hint="default"/>
      </w:rPr>
    </w:lvl>
    <w:lvl w:ilvl="5">
      <w:numFmt w:val="bullet"/>
      <w:lvlText w:val="•"/>
      <w:lvlJc w:val="left"/>
      <w:pPr>
        <w:ind w:left="3547" w:hanging="737"/>
      </w:pPr>
      <w:rPr>
        <w:rFonts w:hint="default"/>
      </w:rPr>
    </w:lvl>
    <w:lvl w:ilvl="6">
      <w:numFmt w:val="bullet"/>
      <w:lvlText w:val="•"/>
      <w:lvlJc w:val="left"/>
      <w:pPr>
        <w:ind w:left="4521" w:hanging="737"/>
      </w:pPr>
      <w:rPr>
        <w:rFonts w:hint="default"/>
      </w:rPr>
    </w:lvl>
    <w:lvl w:ilvl="7">
      <w:numFmt w:val="bullet"/>
      <w:lvlText w:val="•"/>
      <w:lvlJc w:val="left"/>
      <w:pPr>
        <w:ind w:left="5494" w:hanging="737"/>
      </w:pPr>
      <w:rPr>
        <w:rFonts w:hint="default"/>
      </w:rPr>
    </w:lvl>
    <w:lvl w:ilvl="8">
      <w:numFmt w:val="bullet"/>
      <w:lvlText w:val="•"/>
      <w:lvlJc w:val="left"/>
      <w:pPr>
        <w:ind w:left="6468" w:hanging="737"/>
      </w:pPr>
      <w:rPr>
        <w:rFonts w:hint="default"/>
      </w:rPr>
    </w:lvl>
  </w:abstractNum>
  <w:abstractNum w:abstractNumId="26">
    <w:nsid w:val="56471BE7"/>
    <w:multiLevelType w:val="hybridMultilevel"/>
    <w:tmpl w:val="CEA665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nsid w:val="57FB71BE"/>
    <w:multiLevelType w:val="hybridMultilevel"/>
    <w:tmpl w:val="B752440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58894849"/>
    <w:multiLevelType w:val="hybridMultilevel"/>
    <w:tmpl w:val="1348365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9">
    <w:nsid w:val="595A0FA8"/>
    <w:multiLevelType w:val="hybridMultilevel"/>
    <w:tmpl w:val="96C69C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BA21C2C"/>
    <w:multiLevelType w:val="hybridMultilevel"/>
    <w:tmpl w:val="E16C7FBA"/>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31">
    <w:nsid w:val="5E2863B4"/>
    <w:multiLevelType w:val="hybridMultilevel"/>
    <w:tmpl w:val="9E86E3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626B7B43"/>
    <w:multiLevelType w:val="hybridMultilevel"/>
    <w:tmpl w:val="1A3815FA"/>
    <w:lvl w:ilvl="0" w:tplc="42B80E8E">
      <w:start w:val="4"/>
      <w:numFmt w:val="bullet"/>
      <w:lvlText w:val=""/>
      <w:lvlJc w:val="left"/>
      <w:pPr>
        <w:tabs>
          <w:tab w:val="num" w:pos="720"/>
        </w:tabs>
        <w:ind w:left="720" w:hanging="360"/>
      </w:pPr>
      <w:rPr>
        <w:rFonts w:ascii="Wingdings" w:eastAsia="Times New Roman" w:hAnsi="Wingdings" w:cs="Aria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3">
    <w:nsid w:val="660F0920"/>
    <w:multiLevelType w:val="hybridMultilevel"/>
    <w:tmpl w:val="9590345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4">
    <w:nsid w:val="68A26960"/>
    <w:multiLevelType w:val="hybridMultilevel"/>
    <w:tmpl w:val="90E8B21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11A50F3"/>
    <w:multiLevelType w:val="hybridMultilevel"/>
    <w:tmpl w:val="A70E60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74F40D70"/>
    <w:multiLevelType w:val="hybridMultilevel"/>
    <w:tmpl w:val="B52E4F7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7">
    <w:nsid w:val="75633431"/>
    <w:multiLevelType w:val="multilevel"/>
    <w:tmpl w:val="D5B86D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75662318"/>
    <w:multiLevelType w:val="hybridMultilevel"/>
    <w:tmpl w:val="2C58B5B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77DD263E"/>
    <w:multiLevelType w:val="hybridMultilevel"/>
    <w:tmpl w:val="98ECFF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7B68191B"/>
    <w:multiLevelType w:val="hybridMultilevel"/>
    <w:tmpl w:val="DD16430C"/>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1">
    <w:nsid w:val="7E1372B7"/>
    <w:multiLevelType w:val="hybridMultilevel"/>
    <w:tmpl w:val="3C5881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nsid w:val="7E80587E"/>
    <w:multiLevelType w:val="hybridMultilevel"/>
    <w:tmpl w:val="39FA93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37"/>
  </w:num>
  <w:num w:numId="4">
    <w:abstractNumId w:val="23"/>
  </w:num>
  <w:num w:numId="5">
    <w:abstractNumId w:val="11"/>
  </w:num>
  <w:num w:numId="6">
    <w:abstractNumId w:val="42"/>
  </w:num>
  <w:num w:numId="7">
    <w:abstractNumId w:val="21"/>
  </w:num>
  <w:num w:numId="8">
    <w:abstractNumId w:val="27"/>
  </w:num>
  <w:num w:numId="9">
    <w:abstractNumId w:val="26"/>
  </w:num>
  <w:num w:numId="10">
    <w:abstractNumId w:val="10"/>
  </w:num>
  <w:num w:numId="11">
    <w:abstractNumId w:val="7"/>
  </w:num>
  <w:num w:numId="12">
    <w:abstractNumId w:val="8"/>
  </w:num>
  <w:num w:numId="13">
    <w:abstractNumId w:val="30"/>
  </w:num>
  <w:num w:numId="14">
    <w:abstractNumId w:val="17"/>
  </w:num>
  <w:num w:numId="15">
    <w:abstractNumId w:val="2"/>
  </w:num>
  <w:num w:numId="16">
    <w:abstractNumId w:val="40"/>
  </w:num>
  <w:num w:numId="17">
    <w:abstractNumId w:val="0"/>
    <w:lvlOverride w:ilvl="0">
      <w:lvl w:ilvl="0">
        <w:start w:val="1"/>
        <w:numFmt w:val="bullet"/>
        <w:lvlText w:val=""/>
        <w:legacy w:legacy="1" w:legacySpace="120" w:legacyIndent="360"/>
        <w:lvlJc w:val="left"/>
        <w:pPr>
          <w:ind w:left="1620" w:hanging="360"/>
        </w:pPr>
        <w:rPr>
          <w:rFonts w:ascii="Symbol" w:hAnsi="Symbol" w:hint="default"/>
        </w:rPr>
      </w:lvl>
    </w:lvlOverride>
  </w:num>
  <w:num w:numId="18">
    <w:abstractNumId w:val="1"/>
  </w:num>
  <w:num w:numId="19">
    <w:abstractNumId w:val="14"/>
  </w:num>
  <w:num w:numId="20">
    <w:abstractNumId w:val="32"/>
  </w:num>
  <w:num w:numId="21">
    <w:abstractNumId w:val="3"/>
  </w:num>
  <w:num w:numId="22">
    <w:abstractNumId w:val="2"/>
  </w:num>
  <w:num w:numId="23">
    <w:abstractNumId w:val="19"/>
  </w:num>
  <w:num w:numId="24">
    <w:abstractNumId w:val="29"/>
  </w:num>
  <w:num w:numId="25">
    <w:abstractNumId w:val="28"/>
  </w:num>
  <w:num w:numId="26">
    <w:abstractNumId w:val="18"/>
  </w:num>
  <w:num w:numId="27">
    <w:abstractNumId w:val="33"/>
  </w:num>
  <w:num w:numId="28">
    <w:abstractNumId w:val="36"/>
  </w:num>
  <w:num w:numId="29">
    <w:abstractNumId w:val="9"/>
  </w:num>
  <w:num w:numId="30">
    <w:abstractNumId w:val="34"/>
  </w:num>
  <w:num w:numId="31">
    <w:abstractNumId w:val="16"/>
  </w:num>
  <w:num w:numId="32">
    <w:abstractNumId w:val="35"/>
  </w:num>
  <w:num w:numId="33">
    <w:abstractNumId w:val="38"/>
  </w:num>
  <w:num w:numId="34">
    <w:abstractNumId w:val="4"/>
  </w:num>
  <w:num w:numId="35">
    <w:abstractNumId w:val="13"/>
  </w:num>
  <w:num w:numId="36">
    <w:abstractNumId w:val="25"/>
  </w:num>
  <w:num w:numId="37">
    <w:abstractNumId w:val="31"/>
  </w:num>
  <w:num w:numId="38">
    <w:abstractNumId w:val="20"/>
  </w:num>
  <w:num w:numId="39">
    <w:abstractNumId w:val="22"/>
  </w:num>
  <w:num w:numId="40">
    <w:abstractNumId w:val="41"/>
  </w:num>
  <w:num w:numId="41">
    <w:abstractNumId w:val="24"/>
  </w:num>
  <w:num w:numId="42">
    <w:abstractNumId w:val="6"/>
  </w:num>
  <w:num w:numId="43">
    <w:abstractNumId w:val="39"/>
  </w:num>
  <w:num w:numId="4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A3"/>
    <w:rsid w:val="000117C1"/>
    <w:rsid w:val="00013A4D"/>
    <w:rsid w:val="00017859"/>
    <w:rsid w:val="00031198"/>
    <w:rsid w:val="000467FD"/>
    <w:rsid w:val="00053035"/>
    <w:rsid w:val="000824A8"/>
    <w:rsid w:val="00095E56"/>
    <w:rsid w:val="000A48C0"/>
    <w:rsid w:val="00103823"/>
    <w:rsid w:val="00131CB5"/>
    <w:rsid w:val="0015638E"/>
    <w:rsid w:val="00161FF4"/>
    <w:rsid w:val="00180B76"/>
    <w:rsid w:val="001A1F1A"/>
    <w:rsid w:val="001B2AC2"/>
    <w:rsid w:val="00204EE0"/>
    <w:rsid w:val="00210609"/>
    <w:rsid w:val="00254F38"/>
    <w:rsid w:val="00281D13"/>
    <w:rsid w:val="002A7A90"/>
    <w:rsid w:val="002B0C92"/>
    <w:rsid w:val="002C5FD7"/>
    <w:rsid w:val="003321FD"/>
    <w:rsid w:val="003329F6"/>
    <w:rsid w:val="00345911"/>
    <w:rsid w:val="0036539D"/>
    <w:rsid w:val="00406826"/>
    <w:rsid w:val="00415560"/>
    <w:rsid w:val="00422EFC"/>
    <w:rsid w:val="00474146"/>
    <w:rsid w:val="00482D5E"/>
    <w:rsid w:val="0049316A"/>
    <w:rsid w:val="004C491F"/>
    <w:rsid w:val="004E1899"/>
    <w:rsid w:val="00511CAE"/>
    <w:rsid w:val="00526AED"/>
    <w:rsid w:val="00562444"/>
    <w:rsid w:val="005731F1"/>
    <w:rsid w:val="005742EB"/>
    <w:rsid w:val="005833C0"/>
    <w:rsid w:val="00590A45"/>
    <w:rsid w:val="00590BEF"/>
    <w:rsid w:val="00595DE3"/>
    <w:rsid w:val="005A3308"/>
    <w:rsid w:val="005C3FBA"/>
    <w:rsid w:val="005E11CB"/>
    <w:rsid w:val="00624695"/>
    <w:rsid w:val="006465F9"/>
    <w:rsid w:val="00655C76"/>
    <w:rsid w:val="00691B6D"/>
    <w:rsid w:val="006972E9"/>
    <w:rsid w:val="006B2FC1"/>
    <w:rsid w:val="006B7688"/>
    <w:rsid w:val="00707866"/>
    <w:rsid w:val="00754C74"/>
    <w:rsid w:val="00755708"/>
    <w:rsid w:val="00763490"/>
    <w:rsid w:val="007A5435"/>
    <w:rsid w:val="007E3ACB"/>
    <w:rsid w:val="008259AB"/>
    <w:rsid w:val="00863489"/>
    <w:rsid w:val="008776EA"/>
    <w:rsid w:val="00884B23"/>
    <w:rsid w:val="008B188B"/>
    <w:rsid w:val="0090298F"/>
    <w:rsid w:val="00926DA3"/>
    <w:rsid w:val="00930FC0"/>
    <w:rsid w:val="00961D64"/>
    <w:rsid w:val="00973C6D"/>
    <w:rsid w:val="009D7BC4"/>
    <w:rsid w:val="009E09F4"/>
    <w:rsid w:val="009E6CA8"/>
    <w:rsid w:val="00A0194C"/>
    <w:rsid w:val="00A15DE9"/>
    <w:rsid w:val="00A4712A"/>
    <w:rsid w:val="00A54190"/>
    <w:rsid w:val="00A656C7"/>
    <w:rsid w:val="00A73F81"/>
    <w:rsid w:val="00A976B7"/>
    <w:rsid w:val="00AA6559"/>
    <w:rsid w:val="00AE70B8"/>
    <w:rsid w:val="00B932DB"/>
    <w:rsid w:val="00B93EE3"/>
    <w:rsid w:val="00BD4E12"/>
    <w:rsid w:val="00C115A9"/>
    <w:rsid w:val="00C46D7E"/>
    <w:rsid w:val="00C53BE6"/>
    <w:rsid w:val="00C74F62"/>
    <w:rsid w:val="00C879EE"/>
    <w:rsid w:val="00CA6EAF"/>
    <w:rsid w:val="00CD4EF8"/>
    <w:rsid w:val="00D10996"/>
    <w:rsid w:val="00D57AB5"/>
    <w:rsid w:val="00D86C92"/>
    <w:rsid w:val="00DE5C98"/>
    <w:rsid w:val="00DF14B2"/>
    <w:rsid w:val="00E166B5"/>
    <w:rsid w:val="00EC51E7"/>
    <w:rsid w:val="00EE08C0"/>
    <w:rsid w:val="00EE5FA8"/>
    <w:rsid w:val="00F37ABD"/>
    <w:rsid w:val="00F725CF"/>
    <w:rsid w:val="00FB4B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DA3"/>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926DA3"/>
    <w:pPr>
      <w:spacing w:after="0" w:line="660" w:lineRule="exact"/>
      <w:outlineLvl w:val="0"/>
    </w:pPr>
    <w:rPr>
      <w:rFonts w:ascii="Arial" w:hAnsi="Arial" w:cs="Arial"/>
      <w:b/>
      <w:sz w:val="28"/>
      <w:szCs w:val="28"/>
      <w:lang w:val="en-GB" w:eastAsia="en-US"/>
    </w:rPr>
  </w:style>
  <w:style w:type="paragraph" w:styleId="Heading2">
    <w:name w:val="heading 2"/>
    <w:basedOn w:val="Normal"/>
    <w:next w:val="Normal"/>
    <w:link w:val="Heading2Char"/>
    <w:uiPriority w:val="9"/>
    <w:semiHidden/>
    <w:unhideWhenUsed/>
    <w:qFormat/>
    <w:rsid w:val="00C115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115A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DA3"/>
    <w:rPr>
      <w:rFonts w:ascii="Arial" w:eastAsiaTheme="minorEastAsia" w:hAnsi="Arial" w:cs="Arial"/>
      <w:b/>
      <w:sz w:val="28"/>
      <w:szCs w:val="28"/>
    </w:rPr>
  </w:style>
  <w:style w:type="table" w:styleId="TableGrid">
    <w:name w:val="Table Grid"/>
    <w:basedOn w:val="TableNormal"/>
    <w:rsid w:val="00926DA3"/>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6DA3"/>
    <w:pPr>
      <w:spacing w:after="0"/>
      <w:ind w:left="720"/>
    </w:pPr>
    <w:rPr>
      <w:rFonts w:ascii="Times New Roman" w:eastAsia="Times New Roman" w:hAnsi="Times New Roman" w:cs="Times New Roman"/>
      <w:szCs w:val="24"/>
      <w:lang w:val="en-GB" w:eastAsia="en-GB"/>
    </w:rPr>
  </w:style>
  <w:style w:type="paragraph" w:styleId="PlainText">
    <w:name w:val="Plain Text"/>
    <w:basedOn w:val="Normal"/>
    <w:link w:val="PlainTextChar"/>
    <w:uiPriority w:val="99"/>
    <w:unhideWhenUsed/>
    <w:rsid w:val="00926DA3"/>
    <w:pPr>
      <w:spacing w:after="0"/>
    </w:pPr>
    <w:rPr>
      <w:rFonts w:ascii="Calibri" w:eastAsia="Calibri" w:hAnsi="Calibri" w:cs="Times New Roman"/>
      <w:sz w:val="22"/>
      <w:szCs w:val="21"/>
      <w:lang w:val="x-none" w:eastAsia="en-US"/>
    </w:rPr>
  </w:style>
  <w:style w:type="character" w:customStyle="1" w:styleId="PlainTextChar">
    <w:name w:val="Plain Text Char"/>
    <w:basedOn w:val="DefaultParagraphFont"/>
    <w:link w:val="PlainText"/>
    <w:uiPriority w:val="99"/>
    <w:rsid w:val="00926DA3"/>
    <w:rPr>
      <w:rFonts w:ascii="Calibri" w:eastAsia="Calibri" w:hAnsi="Calibri" w:cs="Times New Roman"/>
      <w:szCs w:val="21"/>
      <w:lang w:val="x-none"/>
    </w:rPr>
  </w:style>
  <w:style w:type="paragraph" w:styleId="BalloonText">
    <w:name w:val="Balloon Text"/>
    <w:basedOn w:val="Normal"/>
    <w:link w:val="BalloonTextChar"/>
    <w:uiPriority w:val="99"/>
    <w:semiHidden/>
    <w:unhideWhenUsed/>
    <w:rsid w:val="009E09F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9F4"/>
    <w:rPr>
      <w:rFonts w:ascii="Tahoma" w:eastAsiaTheme="minorEastAsia" w:hAnsi="Tahoma" w:cs="Tahoma"/>
      <w:sz w:val="16"/>
      <w:szCs w:val="16"/>
      <w:lang w:val="en-US" w:eastAsia="ja-JP"/>
    </w:rPr>
  </w:style>
  <w:style w:type="paragraph" w:styleId="EndnoteText">
    <w:name w:val="endnote text"/>
    <w:basedOn w:val="Normal"/>
    <w:link w:val="EndnoteTextChar"/>
    <w:semiHidden/>
    <w:unhideWhenUsed/>
    <w:rsid w:val="0036539D"/>
    <w:pPr>
      <w:spacing w:after="0"/>
    </w:pPr>
    <w:rPr>
      <w:rFonts w:ascii="Times New Roman" w:eastAsia="Times New Roman" w:hAnsi="Times New Roman" w:cs="Times New Roman"/>
      <w:sz w:val="20"/>
      <w:lang w:eastAsia="en-US"/>
    </w:rPr>
  </w:style>
  <w:style w:type="character" w:customStyle="1" w:styleId="EndnoteTextChar">
    <w:name w:val="Endnote Text Char"/>
    <w:basedOn w:val="DefaultParagraphFont"/>
    <w:link w:val="EndnoteText"/>
    <w:semiHidden/>
    <w:rsid w:val="0036539D"/>
    <w:rPr>
      <w:rFonts w:ascii="Times New Roman" w:eastAsia="Times New Roman" w:hAnsi="Times New Roman" w:cs="Times New Roman"/>
      <w:sz w:val="20"/>
      <w:szCs w:val="20"/>
      <w:lang w:val="en-US"/>
    </w:rPr>
  </w:style>
  <w:style w:type="character" w:styleId="EndnoteReference">
    <w:name w:val="endnote reference"/>
    <w:basedOn w:val="DefaultParagraphFont"/>
    <w:semiHidden/>
    <w:unhideWhenUsed/>
    <w:rsid w:val="0036539D"/>
    <w:rPr>
      <w:vertAlign w:val="superscript"/>
    </w:rPr>
  </w:style>
  <w:style w:type="character" w:customStyle="1" w:styleId="Heading2Char">
    <w:name w:val="Heading 2 Char"/>
    <w:basedOn w:val="DefaultParagraphFont"/>
    <w:link w:val="Heading2"/>
    <w:uiPriority w:val="9"/>
    <w:semiHidden/>
    <w:rsid w:val="00C115A9"/>
    <w:rPr>
      <w:rFonts w:asciiTheme="majorHAnsi" w:eastAsiaTheme="majorEastAsia" w:hAnsiTheme="majorHAnsi" w:cstheme="majorBidi"/>
      <w:b/>
      <w:bCs/>
      <w:color w:val="4F81BD" w:themeColor="accent1"/>
      <w:sz w:val="26"/>
      <w:szCs w:val="26"/>
      <w:lang w:val="en-US" w:eastAsia="ja-JP"/>
    </w:rPr>
  </w:style>
  <w:style w:type="character" w:customStyle="1" w:styleId="Heading3Char">
    <w:name w:val="Heading 3 Char"/>
    <w:basedOn w:val="DefaultParagraphFont"/>
    <w:link w:val="Heading3"/>
    <w:uiPriority w:val="9"/>
    <w:semiHidden/>
    <w:rsid w:val="00C115A9"/>
    <w:rPr>
      <w:rFonts w:asciiTheme="majorHAnsi" w:eastAsiaTheme="majorEastAsia" w:hAnsiTheme="majorHAnsi" w:cstheme="majorBidi"/>
      <w:b/>
      <w:bCs/>
      <w:color w:val="4F81BD" w:themeColor="accent1"/>
      <w:sz w:val="24"/>
      <w:szCs w:val="20"/>
      <w:lang w:val="en-US" w:eastAsia="ja-JP"/>
    </w:rPr>
  </w:style>
  <w:style w:type="character" w:styleId="Hyperlink">
    <w:name w:val="Hyperlink"/>
    <w:basedOn w:val="DefaultParagraphFont"/>
    <w:rsid w:val="00C115A9"/>
    <w:rPr>
      <w:color w:val="0000FF"/>
      <w:u w:val="single"/>
    </w:rPr>
  </w:style>
  <w:style w:type="paragraph" w:styleId="FootnoteText">
    <w:name w:val="footnote text"/>
    <w:basedOn w:val="Normal"/>
    <w:link w:val="FootnoteTextChar"/>
    <w:semiHidden/>
    <w:rsid w:val="00C115A9"/>
    <w:pPr>
      <w:spacing w:after="0"/>
    </w:pPr>
    <w:rPr>
      <w:rFonts w:ascii="Times New Roman" w:eastAsia="Times New Roman" w:hAnsi="Times New Roman" w:cs="Times New Roman"/>
      <w:sz w:val="20"/>
      <w:lang w:eastAsia="en-US"/>
    </w:rPr>
  </w:style>
  <w:style w:type="character" w:customStyle="1" w:styleId="FootnoteTextChar">
    <w:name w:val="Footnote Text Char"/>
    <w:basedOn w:val="DefaultParagraphFont"/>
    <w:link w:val="FootnoteText"/>
    <w:semiHidden/>
    <w:rsid w:val="00C115A9"/>
    <w:rPr>
      <w:rFonts w:ascii="Times New Roman" w:eastAsia="Times New Roman" w:hAnsi="Times New Roman" w:cs="Times New Roman"/>
      <w:sz w:val="20"/>
      <w:szCs w:val="20"/>
      <w:lang w:val="en-US"/>
    </w:rPr>
  </w:style>
  <w:style w:type="paragraph" w:styleId="Footer">
    <w:name w:val="footer"/>
    <w:basedOn w:val="Normal"/>
    <w:link w:val="FooterChar"/>
    <w:rsid w:val="00C115A9"/>
    <w:pPr>
      <w:tabs>
        <w:tab w:val="center" w:pos="4153"/>
        <w:tab w:val="right" w:pos="8306"/>
      </w:tabs>
      <w:spacing w:after="0"/>
    </w:pPr>
    <w:rPr>
      <w:rFonts w:ascii="Times New Roman" w:eastAsia="Times New Roman" w:hAnsi="Times New Roman" w:cs="Times New Roman"/>
      <w:szCs w:val="24"/>
      <w:lang w:val="en-GB" w:eastAsia="en-GB"/>
    </w:rPr>
  </w:style>
  <w:style w:type="character" w:customStyle="1" w:styleId="FooterChar">
    <w:name w:val="Footer Char"/>
    <w:basedOn w:val="DefaultParagraphFont"/>
    <w:link w:val="Footer"/>
    <w:rsid w:val="00C115A9"/>
    <w:rPr>
      <w:rFonts w:ascii="Times New Roman" w:eastAsia="Times New Roman" w:hAnsi="Times New Roman" w:cs="Times New Roman"/>
      <w:sz w:val="24"/>
      <w:szCs w:val="24"/>
      <w:lang w:eastAsia="en-GB"/>
    </w:rPr>
  </w:style>
  <w:style w:type="paragraph" w:styleId="NoSpacing">
    <w:name w:val="No Spacing"/>
    <w:uiPriority w:val="1"/>
    <w:qFormat/>
    <w:rsid w:val="00C115A9"/>
    <w:pPr>
      <w:spacing w:after="0" w:line="240" w:lineRule="auto"/>
    </w:pPr>
    <w:rPr>
      <w:rFonts w:eastAsiaTheme="minorEastAsia"/>
      <w:sz w:val="24"/>
      <w:szCs w:val="20"/>
      <w:lang w:val="en-US" w:eastAsia="ja-JP"/>
    </w:rPr>
  </w:style>
  <w:style w:type="paragraph" w:styleId="Header">
    <w:name w:val="header"/>
    <w:basedOn w:val="Normal"/>
    <w:link w:val="HeaderChar"/>
    <w:uiPriority w:val="99"/>
    <w:unhideWhenUsed/>
    <w:rsid w:val="00103823"/>
    <w:pPr>
      <w:tabs>
        <w:tab w:val="center" w:pos="4513"/>
        <w:tab w:val="right" w:pos="9026"/>
      </w:tabs>
      <w:spacing w:after="0"/>
    </w:pPr>
  </w:style>
  <w:style w:type="character" w:customStyle="1" w:styleId="HeaderChar">
    <w:name w:val="Header Char"/>
    <w:basedOn w:val="DefaultParagraphFont"/>
    <w:link w:val="Header"/>
    <w:uiPriority w:val="99"/>
    <w:rsid w:val="00103823"/>
    <w:rPr>
      <w:rFonts w:eastAsiaTheme="minorEastAsia"/>
      <w:sz w:val="24"/>
      <w:szCs w:val="20"/>
      <w:lang w:val="en-US" w:eastAsia="ja-JP"/>
    </w:rPr>
  </w:style>
  <w:style w:type="paragraph" w:styleId="BodyText">
    <w:name w:val="Body Text"/>
    <w:basedOn w:val="Normal"/>
    <w:link w:val="BodyTextChar"/>
    <w:uiPriority w:val="1"/>
    <w:qFormat/>
    <w:rsid w:val="00C53BE6"/>
    <w:pPr>
      <w:widowControl w:val="0"/>
      <w:autoSpaceDE w:val="0"/>
      <w:autoSpaceDN w:val="0"/>
      <w:spacing w:after="0"/>
    </w:pPr>
    <w:rPr>
      <w:rFonts w:ascii="Arial" w:eastAsia="Arial" w:hAnsi="Arial" w:cs="Arial"/>
      <w:sz w:val="22"/>
      <w:szCs w:val="22"/>
      <w:lang w:eastAsia="en-US"/>
    </w:rPr>
  </w:style>
  <w:style w:type="character" w:customStyle="1" w:styleId="BodyTextChar">
    <w:name w:val="Body Text Char"/>
    <w:basedOn w:val="DefaultParagraphFont"/>
    <w:link w:val="BodyText"/>
    <w:uiPriority w:val="1"/>
    <w:rsid w:val="00C53BE6"/>
    <w:rPr>
      <w:rFonts w:ascii="Arial" w:eastAsia="Arial" w:hAnsi="Arial" w:cs="Arial"/>
      <w:lang w:val="en-US"/>
    </w:rPr>
  </w:style>
  <w:style w:type="paragraph" w:customStyle="1" w:styleId="TableParagraph">
    <w:name w:val="Table Paragraph"/>
    <w:basedOn w:val="Normal"/>
    <w:uiPriority w:val="1"/>
    <w:qFormat/>
    <w:rsid w:val="00C53BE6"/>
    <w:pPr>
      <w:widowControl w:val="0"/>
      <w:autoSpaceDE w:val="0"/>
      <w:autoSpaceDN w:val="0"/>
      <w:spacing w:after="0"/>
      <w:ind w:left="98"/>
    </w:pPr>
    <w:rPr>
      <w:rFonts w:ascii="Arial" w:eastAsia="Arial" w:hAnsi="Arial" w:cs="Arial"/>
      <w:sz w:val="22"/>
      <w:szCs w:val="22"/>
      <w:lang w:eastAsia="en-US"/>
    </w:rPr>
  </w:style>
  <w:style w:type="character" w:styleId="FollowedHyperlink">
    <w:name w:val="FollowedHyperlink"/>
    <w:basedOn w:val="DefaultParagraphFont"/>
    <w:uiPriority w:val="99"/>
    <w:semiHidden/>
    <w:unhideWhenUsed/>
    <w:rsid w:val="00624695"/>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6DA3"/>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926DA3"/>
    <w:pPr>
      <w:spacing w:after="0" w:line="660" w:lineRule="exact"/>
      <w:outlineLvl w:val="0"/>
    </w:pPr>
    <w:rPr>
      <w:rFonts w:ascii="Arial" w:hAnsi="Arial" w:cs="Arial"/>
      <w:b/>
      <w:sz w:val="28"/>
      <w:szCs w:val="28"/>
      <w:lang w:val="en-GB" w:eastAsia="en-US"/>
    </w:rPr>
  </w:style>
  <w:style w:type="paragraph" w:styleId="Heading2">
    <w:name w:val="heading 2"/>
    <w:basedOn w:val="Normal"/>
    <w:next w:val="Normal"/>
    <w:link w:val="Heading2Char"/>
    <w:uiPriority w:val="9"/>
    <w:semiHidden/>
    <w:unhideWhenUsed/>
    <w:qFormat/>
    <w:rsid w:val="00C115A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C115A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26DA3"/>
    <w:rPr>
      <w:rFonts w:ascii="Arial" w:eastAsiaTheme="minorEastAsia" w:hAnsi="Arial" w:cs="Arial"/>
      <w:b/>
      <w:sz w:val="28"/>
      <w:szCs w:val="28"/>
    </w:rPr>
  </w:style>
  <w:style w:type="table" w:styleId="TableGrid">
    <w:name w:val="Table Grid"/>
    <w:basedOn w:val="TableNormal"/>
    <w:rsid w:val="00926DA3"/>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26DA3"/>
    <w:pPr>
      <w:spacing w:after="0"/>
      <w:ind w:left="720"/>
    </w:pPr>
    <w:rPr>
      <w:rFonts w:ascii="Times New Roman" w:eastAsia="Times New Roman" w:hAnsi="Times New Roman" w:cs="Times New Roman"/>
      <w:szCs w:val="24"/>
      <w:lang w:val="en-GB" w:eastAsia="en-GB"/>
    </w:rPr>
  </w:style>
  <w:style w:type="paragraph" w:styleId="PlainText">
    <w:name w:val="Plain Text"/>
    <w:basedOn w:val="Normal"/>
    <w:link w:val="PlainTextChar"/>
    <w:uiPriority w:val="99"/>
    <w:unhideWhenUsed/>
    <w:rsid w:val="00926DA3"/>
    <w:pPr>
      <w:spacing w:after="0"/>
    </w:pPr>
    <w:rPr>
      <w:rFonts w:ascii="Calibri" w:eastAsia="Calibri" w:hAnsi="Calibri" w:cs="Times New Roman"/>
      <w:sz w:val="22"/>
      <w:szCs w:val="21"/>
      <w:lang w:val="x-none" w:eastAsia="en-US"/>
    </w:rPr>
  </w:style>
  <w:style w:type="character" w:customStyle="1" w:styleId="PlainTextChar">
    <w:name w:val="Plain Text Char"/>
    <w:basedOn w:val="DefaultParagraphFont"/>
    <w:link w:val="PlainText"/>
    <w:uiPriority w:val="99"/>
    <w:rsid w:val="00926DA3"/>
    <w:rPr>
      <w:rFonts w:ascii="Calibri" w:eastAsia="Calibri" w:hAnsi="Calibri" w:cs="Times New Roman"/>
      <w:szCs w:val="21"/>
      <w:lang w:val="x-none"/>
    </w:rPr>
  </w:style>
  <w:style w:type="paragraph" w:styleId="BalloonText">
    <w:name w:val="Balloon Text"/>
    <w:basedOn w:val="Normal"/>
    <w:link w:val="BalloonTextChar"/>
    <w:uiPriority w:val="99"/>
    <w:semiHidden/>
    <w:unhideWhenUsed/>
    <w:rsid w:val="009E09F4"/>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9E09F4"/>
    <w:rPr>
      <w:rFonts w:ascii="Tahoma" w:eastAsiaTheme="minorEastAsia" w:hAnsi="Tahoma" w:cs="Tahoma"/>
      <w:sz w:val="16"/>
      <w:szCs w:val="16"/>
      <w:lang w:val="en-US" w:eastAsia="ja-JP"/>
    </w:rPr>
  </w:style>
  <w:style w:type="paragraph" w:styleId="EndnoteText">
    <w:name w:val="endnote text"/>
    <w:basedOn w:val="Normal"/>
    <w:link w:val="EndnoteTextChar"/>
    <w:semiHidden/>
    <w:unhideWhenUsed/>
    <w:rsid w:val="0036539D"/>
    <w:pPr>
      <w:spacing w:after="0"/>
    </w:pPr>
    <w:rPr>
      <w:rFonts w:ascii="Times New Roman" w:eastAsia="Times New Roman" w:hAnsi="Times New Roman" w:cs="Times New Roman"/>
      <w:sz w:val="20"/>
      <w:lang w:eastAsia="en-US"/>
    </w:rPr>
  </w:style>
  <w:style w:type="character" w:customStyle="1" w:styleId="EndnoteTextChar">
    <w:name w:val="Endnote Text Char"/>
    <w:basedOn w:val="DefaultParagraphFont"/>
    <w:link w:val="EndnoteText"/>
    <w:semiHidden/>
    <w:rsid w:val="0036539D"/>
    <w:rPr>
      <w:rFonts w:ascii="Times New Roman" w:eastAsia="Times New Roman" w:hAnsi="Times New Roman" w:cs="Times New Roman"/>
      <w:sz w:val="20"/>
      <w:szCs w:val="20"/>
      <w:lang w:val="en-US"/>
    </w:rPr>
  </w:style>
  <w:style w:type="character" w:styleId="EndnoteReference">
    <w:name w:val="endnote reference"/>
    <w:basedOn w:val="DefaultParagraphFont"/>
    <w:semiHidden/>
    <w:unhideWhenUsed/>
    <w:rsid w:val="0036539D"/>
    <w:rPr>
      <w:vertAlign w:val="superscript"/>
    </w:rPr>
  </w:style>
  <w:style w:type="character" w:customStyle="1" w:styleId="Heading2Char">
    <w:name w:val="Heading 2 Char"/>
    <w:basedOn w:val="DefaultParagraphFont"/>
    <w:link w:val="Heading2"/>
    <w:uiPriority w:val="9"/>
    <w:semiHidden/>
    <w:rsid w:val="00C115A9"/>
    <w:rPr>
      <w:rFonts w:asciiTheme="majorHAnsi" w:eastAsiaTheme="majorEastAsia" w:hAnsiTheme="majorHAnsi" w:cstheme="majorBidi"/>
      <w:b/>
      <w:bCs/>
      <w:color w:val="4F81BD" w:themeColor="accent1"/>
      <w:sz w:val="26"/>
      <w:szCs w:val="26"/>
      <w:lang w:val="en-US" w:eastAsia="ja-JP"/>
    </w:rPr>
  </w:style>
  <w:style w:type="character" w:customStyle="1" w:styleId="Heading3Char">
    <w:name w:val="Heading 3 Char"/>
    <w:basedOn w:val="DefaultParagraphFont"/>
    <w:link w:val="Heading3"/>
    <w:uiPriority w:val="9"/>
    <w:semiHidden/>
    <w:rsid w:val="00C115A9"/>
    <w:rPr>
      <w:rFonts w:asciiTheme="majorHAnsi" w:eastAsiaTheme="majorEastAsia" w:hAnsiTheme="majorHAnsi" w:cstheme="majorBidi"/>
      <w:b/>
      <w:bCs/>
      <w:color w:val="4F81BD" w:themeColor="accent1"/>
      <w:sz w:val="24"/>
      <w:szCs w:val="20"/>
      <w:lang w:val="en-US" w:eastAsia="ja-JP"/>
    </w:rPr>
  </w:style>
  <w:style w:type="character" w:styleId="Hyperlink">
    <w:name w:val="Hyperlink"/>
    <w:basedOn w:val="DefaultParagraphFont"/>
    <w:rsid w:val="00C115A9"/>
    <w:rPr>
      <w:color w:val="0000FF"/>
      <w:u w:val="single"/>
    </w:rPr>
  </w:style>
  <w:style w:type="paragraph" w:styleId="FootnoteText">
    <w:name w:val="footnote text"/>
    <w:basedOn w:val="Normal"/>
    <w:link w:val="FootnoteTextChar"/>
    <w:semiHidden/>
    <w:rsid w:val="00C115A9"/>
    <w:pPr>
      <w:spacing w:after="0"/>
    </w:pPr>
    <w:rPr>
      <w:rFonts w:ascii="Times New Roman" w:eastAsia="Times New Roman" w:hAnsi="Times New Roman" w:cs="Times New Roman"/>
      <w:sz w:val="20"/>
      <w:lang w:eastAsia="en-US"/>
    </w:rPr>
  </w:style>
  <w:style w:type="character" w:customStyle="1" w:styleId="FootnoteTextChar">
    <w:name w:val="Footnote Text Char"/>
    <w:basedOn w:val="DefaultParagraphFont"/>
    <w:link w:val="FootnoteText"/>
    <w:semiHidden/>
    <w:rsid w:val="00C115A9"/>
    <w:rPr>
      <w:rFonts w:ascii="Times New Roman" w:eastAsia="Times New Roman" w:hAnsi="Times New Roman" w:cs="Times New Roman"/>
      <w:sz w:val="20"/>
      <w:szCs w:val="20"/>
      <w:lang w:val="en-US"/>
    </w:rPr>
  </w:style>
  <w:style w:type="paragraph" w:styleId="Footer">
    <w:name w:val="footer"/>
    <w:basedOn w:val="Normal"/>
    <w:link w:val="FooterChar"/>
    <w:rsid w:val="00C115A9"/>
    <w:pPr>
      <w:tabs>
        <w:tab w:val="center" w:pos="4153"/>
        <w:tab w:val="right" w:pos="8306"/>
      </w:tabs>
      <w:spacing w:after="0"/>
    </w:pPr>
    <w:rPr>
      <w:rFonts w:ascii="Times New Roman" w:eastAsia="Times New Roman" w:hAnsi="Times New Roman" w:cs="Times New Roman"/>
      <w:szCs w:val="24"/>
      <w:lang w:val="en-GB" w:eastAsia="en-GB"/>
    </w:rPr>
  </w:style>
  <w:style w:type="character" w:customStyle="1" w:styleId="FooterChar">
    <w:name w:val="Footer Char"/>
    <w:basedOn w:val="DefaultParagraphFont"/>
    <w:link w:val="Footer"/>
    <w:rsid w:val="00C115A9"/>
    <w:rPr>
      <w:rFonts w:ascii="Times New Roman" w:eastAsia="Times New Roman" w:hAnsi="Times New Roman" w:cs="Times New Roman"/>
      <w:sz w:val="24"/>
      <w:szCs w:val="24"/>
      <w:lang w:eastAsia="en-GB"/>
    </w:rPr>
  </w:style>
  <w:style w:type="paragraph" w:styleId="NoSpacing">
    <w:name w:val="No Spacing"/>
    <w:uiPriority w:val="1"/>
    <w:qFormat/>
    <w:rsid w:val="00C115A9"/>
    <w:pPr>
      <w:spacing w:after="0" w:line="240" w:lineRule="auto"/>
    </w:pPr>
    <w:rPr>
      <w:rFonts w:eastAsiaTheme="minorEastAsia"/>
      <w:sz w:val="24"/>
      <w:szCs w:val="20"/>
      <w:lang w:val="en-US" w:eastAsia="ja-JP"/>
    </w:rPr>
  </w:style>
  <w:style w:type="paragraph" w:styleId="Header">
    <w:name w:val="header"/>
    <w:basedOn w:val="Normal"/>
    <w:link w:val="HeaderChar"/>
    <w:uiPriority w:val="99"/>
    <w:unhideWhenUsed/>
    <w:rsid w:val="00103823"/>
    <w:pPr>
      <w:tabs>
        <w:tab w:val="center" w:pos="4513"/>
        <w:tab w:val="right" w:pos="9026"/>
      </w:tabs>
      <w:spacing w:after="0"/>
    </w:pPr>
  </w:style>
  <w:style w:type="character" w:customStyle="1" w:styleId="HeaderChar">
    <w:name w:val="Header Char"/>
    <w:basedOn w:val="DefaultParagraphFont"/>
    <w:link w:val="Header"/>
    <w:uiPriority w:val="99"/>
    <w:rsid w:val="00103823"/>
    <w:rPr>
      <w:rFonts w:eastAsiaTheme="minorEastAsia"/>
      <w:sz w:val="24"/>
      <w:szCs w:val="20"/>
      <w:lang w:val="en-US" w:eastAsia="ja-JP"/>
    </w:rPr>
  </w:style>
  <w:style w:type="paragraph" w:styleId="BodyText">
    <w:name w:val="Body Text"/>
    <w:basedOn w:val="Normal"/>
    <w:link w:val="BodyTextChar"/>
    <w:uiPriority w:val="1"/>
    <w:qFormat/>
    <w:rsid w:val="00C53BE6"/>
    <w:pPr>
      <w:widowControl w:val="0"/>
      <w:autoSpaceDE w:val="0"/>
      <w:autoSpaceDN w:val="0"/>
      <w:spacing w:after="0"/>
    </w:pPr>
    <w:rPr>
      <w:rFonts w:ascii="Arial" w:eastAsia="Arial" w:hAnsi="Arial" w:cs="Arial"/>
      <w:sz w:val="22"/>
      <w:szCs w:val="22"/>
      <w:lang w:eastAsia="en-US"/>
    </w:rPr>
  </w:style>
  <w:style w:type="character" w:customStyle="1" w:styleId="BodyTextChar">
    <w:name w:val="Body Text Char"/>
    <w:basedOn w:val="DefaultParagraphFont"/>
    <w:link w:val="BodyText"/>
    <w:uiPriority w:val="1"/>
    <w:rsid w:val="00C53BE6"/>
    <w:rPr>
      <w:rFonts w:ascii="Arial" w:eastAsia="Arial" w:hAnsi="Arial" w:cs="Arial"/>
      <w:lang w:val="en-US"/>
    </w:rPr>
  </w:style>
  <w:style w:type="paragraph" w:customStyle="1" w:styleId="TableParagraph">
    <w:name w:val="Table Paragraph"/>
    <w:basedOn w:val="Normal"/>
    <w:uiPriority w:val="1"/>
    <w:qFormat/>
    <w:rsid w:val="00C53BE6"/>
    <w:pPr>
      <w:widowControl w:val="0"/>
      <w:autoSpaceDE w:val="0"/>
      <w:autoSpaceDN w:val="0"/>
      <w:spacing w:after="0"/>
      <w:ind w:left="98"/>
    </w:pPr>
    <w:rPr>
      <w:rFonts w:ascii="Arial" w:eastAsia="Arial" w:hAnsi="Arial" w:cs="Arial"/>
      <w:sz w:val="22"/>
      <w:szCs w:val="22"/>
      <w:lang w:eastAsia="en-US"/>
    </w:rPr>
  </w:style>
  <w:style w:type="character" w:styleId="FollowedHyperlink">
    <w:name w:val="FollowedHyperlink"/>
    <w:basedOn w:val="DefaultParagraphFont"/>
    <w:uiPriority w:val="99"/>
    <w:semiHidden/>
    <w:unhideWhenUsed/>
    <w:rsid w:val="00624695"/>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2096296">
      <w:bodyDiv w:val="1"/>
      <w:marLeft w:val="0"/>
      <w:marRight w:val="0"/>
      <w:marTop w:val="0"/>
      <w:marBottom w:val="0"/>
      <w:divBdr>
        <w:top w:val="none" w:sz="0" w:space="0" w:color="auto"/>
        <w:left w:val="none" w:sz="0" w:space="0" w:color="auto"/>
        <w:bottom w:val="none" w:sz="0" w:space="0" w:color="auto"/>
        <w:right w:val="none" w:sz="0" w:space="0" w:color="auto"/>
      </w:divBdr>
    </w:div>
    <w:div w:id="1164661172">
      <w:bodyDiv w:val="1"/>
      <w:marLeft w:val="0"/>
      <w:marRight w:val="0"/>
      <w:marTop w:val="0"/>
      <w:marBottom w:val="0"/>
      <w:divBdr>
        <w:top w:val="none" w:sz="0" w:space="0" w:color="auto"/>
        <w:left w:val="none" w:sz="0" w:space="0" w:color="auto"/>
        <w:bottom w:val="none" w:sz="0" w:space="0" w:color="auto"/>
        <w:right w:val="none" w:sz="0" w:space="0" w:color="auto"/>
      </w:divBdr>
    </w:div>
    <w:div w:id="1283078228">
      <w:bodyDiv w:val="1"/>
      <w:marLeft w:val="0"/>
      <w:marRight w:val="0"/>
      <w:marTop w:val="0"/>
      <w:marBottom w:val="0"/>
      <w:divBdr>
        <w:top w:val="none" w:sz="0" w:space="0" w:color="auto"/>
        <w:left w:val="none" w:sz="0" w:space="0" w:color="auto"/>
        <w:bottom w:val="none" w:sz="0" w:space="0" w:color="auto"/>
        <w:right w:val="none" w:sz="0" w:space="0" w:color="auto"/>
      </w:divBdr>
    </w:div>
    <w:div w:id="1427850175">
      <w:bodyDiv w:val="1"/>
      <w:marLeft w:val="0"/>
      <w:marRight w:val="0"/>
      <w:marTop w:val="0"/>
      <w:marBottom w:val="0"/>
      <w:divBdr>
        <w:top w:val="none" w:sz="0" w:space="0" w:color="auto"/>
        <w:left w:val="none" w:sz="0" w:space="0" w:color="auto"/>
        <w:bottom w:val="none" w:sz="0" w:space="0" w:color="auto"/>
        <w:right w:val="none" w:sz="0" w:space="0" w:color="auto"/>
      </w:divBdr>
    </w:div>
    <w:div w:id="1461730866">
      <w:bodyDiv w:val="1"/>
      <w:marLeft w:val="0"/>
      <w:marRight w:val="0"/>
      <w:marTop w:val="0"/>
      <w:marBottom w:val="0"/>
      <w:divBdr>
        <w:top w:val="none" w:sz="0" w:space="0" w:color="auto"/>
        <w:left w:val="none" w:sz="0" w:space="0" w:color="auto"/>
        <w:bottom w:val="none" w:sz="0" w:space="0" w:color="auto"/>
        <w:right w:val="none" w:sz="0" w:space="0" w:color="auto"/>
      </w:divBdr>
    </w:div>
    <w:div w:id="1515000216">
      <w:bodyDiv w:val="1"/>
      <w:marLeft w:val="0"/>
      <w:marRight w:val="0"/>
      <w:marTop w:val="0"/>
      <w:marBottom w:val="0"/>
      <w:divBdr>
        <w:top w:val="none" w:sz="0" w:space="0" w:color="auto"/>
        <w:left w:val="none" w:sz="0" w:space="0" w:color="auto"/>
        <w:bottom w:val="none" w:sz="0" w:space="0" w:color="auto"/>
        <w:right w:val="none" w:sz="0" w:space="0" w:color="auto"/>
      </w:divBdr>
    </w:div>
    <w:div w:id="1942882271">
      <w:bodyDiv w:val="1"/>
      <w:marLeft w:val="0"/>
      <w:marRight w:val="0"/>
      <w:marTop w:val="0"/>
      <w:marBottom w:val="0"/>
      <w:divBdr>
        <w:top w:val="none" w:sz="0" w:space="0" w:color="auto"/>
        <w:left w:val="none" w:sz="0" w:space="0" w:color="auto"/>
        <w:bottom w:val="none" w:sz="0" w:space="0" w:color="auto"/>
        <w:right w:val="none" w:sz="0" w:space="0" w:color="auto"/>
      </w:divBdr>
    </w:div>
    <w:div w:id="1958903615">
      <w:bodyDiv w:val="1"/>
      <w:marLeft w:val="0"/>
      <w:marRight w:val="0"/>
      <w:marTop w:val="0"/>
      <w:marBottom w:val="0"/>
      <w:divBdr>
        <w:top w:val="none" w:sz="0" w:space="0" w:color="auto"/>
        <w:left w:val="none" w:sz="0" w:space="0" w:color="auto"/>
        <w:bottom w:val="none" w:sz="0" w:space="0" w:color="auto"/>
        <w:right w:val="none" w:sz="0" w:space="0" w:color="auto"/>
      </w:divBdr>
    </w:div>
    <w:div w:id="2119831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nice.org.uk/guidance/cg189/chapter/1-recommendations" TargetMode="External"/><Relationship Id="rId4" Type="http://schemas.openxmlformats.org/officeDocument/2006/relationships/settings" Target="settings.xml"/><Relationship Id="rId9" Type="http://schemas.openxmlformats.org/officeDocument/2006/relationships/hyperlink" Target="http://www.bomss.org.uk/nutritional-guidelines"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148</TotalTime>
  <Pages>6</Pages>
  <Words>2022</Words>
  <Characters>11527</Characters>
  <Application>Microsoft Office Word</Application>
  <DocSecurity>0</DocSecurity>
  <Lines>96</Lines>
  <Paragraphs>27</Paragraphs>
  <ScaleCrop>false</ScaleCrop>
  <HeadingPairs>
    <vt:vector size="2" baseType="variant">
      <vt:variant>
        <vt:lpstr>Title</vt:lpstr>
      </vt:variant>
      <vt:variant>
        <vt:i4>1</vt:i4>
      </vt:variant>
    </vt:vector>
  </HeadingPairs>
  <TitlesOfParts>
    <vt:vector size="1" baseType="lpstr">
      <vt:lpstr/>
    </vt:vector>
  </TitlesOfParts>
  <Company>NHS</Company>
  <LinksUpToDate>false</LinksUpToDate>
  <CharactersWithSpaces>13522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Wain Lisa (04J) North Derbyshire CCG</dc:creator>
  <cp:lastModifiedBy>Bernadette Williams</cp:lastModifiedBy>
  <cp:revision>3</cp:revision>
  <cp:lastPrinted>2019-08-22T14:38:00Z</cp:lastPrinted>
  <dcterms:created xsi:type="dcterms:W3CDTF">2020-07-31T07:46:00Z</dcterms:created>
  <dcterms:modified xsi:type="dcterms:W3CDTF">2020-07-31T12:05:00Z</dcterms:modified>
</cp:coreProperties>
</file>