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3D8DB5" w14:textId="77777777" w:rsidR="0067753F" w:rsidRDefault="0067753F"/>
    <w:p w14:paraId="57BF7533" w14:textId="22AB6537" w:rsidR="0068611F" w:rsidRDefault="0068611F"/>
    <w:p w14:paraId="5CF92B0E" w14:textId="5A5C0B7F" w:rsidR="0067753F" w:rsidRDefault="0035490D" w:rsidP="0035490D">
      <w:pPr>
        <w:jc w:val="right"/>
      </w:pPr>
      <w:r w:rsidRPr="0035490D">
        <w:rPr>
          <w:noProof/>
        </w:rPr>
        <w:drawing>
          <wp:anchor distT="0" distB="0" distL="114300" distR="114300" simplePos="0" relativeHeight="251658240" behindDoc="1" locked="0" layoutInCell="1" allowOverlap="1" wp14:anchorId="2A798EDA" wp14:editId="1C1EC79E">
            <wp:simplePos x="0" y="0"/>
            <wp:positionH relativeFrom="column">
              <wp:posOffset>-48</wp:posOffset>
            </wp:positionH>
            <wp:positionV relativeFrom="paragraph">
              <wp:posOffset>122214</wp:posOffset>
            </wp:positionV>
            <wp:extent cx="2715904" cy="992414"/>
            <wp:effectExtent l="0" t="0" r="0" b="0"/>
            <wp:wrapNone/>
            <wp:docPr id="963135455" name="Picture 2" descr="A black background with blue text&#10;&#10;Description automatically generated">
              <a:extLst xmlns:a="http://schemas.openxmlformats.org/drawingml/2006/main">
                <a:ext uri="{FF2B5EF4-FFF2-40B4-BE49-F238E27FC236}">
                  <a16:creationId xmlns:a16="http://schemas.microsoft.com/office/drawing/2014/main" id="{94BF1C39-B1B8-E189-2DC5-22366C902B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35455" name="Picture 2" descr="A black background with blue text&#10;&#10;Description automatically generated">
                      <a:extLst>
                        <a:ext uri="{FF2B5EF4-FFF2-40B4-BE49-F238E27FC236}">
                          <a16:creationId xmlns:a16="http://schemas.microsoft.com/office/drawing/2014/main" id="{94BF1C39-B1B8-E189-2DC5-22366C902B3E}"/>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5904" cy="992414"/>
                    </a:xfrm>
                    <a:prstGeom prst="rect">
                      <a:avLst/>
                    </a:prstGeom>
                  </pic:spPr>
                </pic:pic>
              </a:graphicData>
            </a:graphic>
          </wp:anchor>
        </w:drawing>
      </w:r>
      <w:r w:rsidRPr="0035490D">
        <w:rPr>
          <w:noProof/>
        </w:rPr>
        <w:t xml:space="preserve"> </w:t>
      </w:r>
      <w:r w:rsidRPr="0035490D">
        <w:rPr>
          <w:noProof/>
        </w:rPr>
        <w:drawing>
          <wp:inline distT="0" distB="0" distL="0" distR="0" wp14:anchorId="1CA37067" wp14:editId="451BE63A">
            <wp:extent cx="2214283" cy="1048871"/>
            <wp:effectExtent l="0" t="0" r="0" b="0"/>
            <wp:docPr id="17" name="Picture 16">
              <a:extLst xmlns:a="http://schemas.openxmlformats.org/drawingml/2006/main">
                <a:ext uri="{FF2B5EF4-FFF2-40B4-BE49-F238E27FC236}">
                  <a16:creationId xmlns:a16="http://schemas.microsoft.com/office/drawing/2014/main" id="{95BB1122-3F77-D9A9-F36F-61AA228E76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95BB1122-3F77-D9A9-F36F-61AA228E7632}"/>
                        </a:ext>
                      </a:extLst>
                    </pic:cNvPr>
                    <pic:cNvPicPr>
                      <a:picLocks noChangeAspect="1"/>
                    </pic:cNvPicPr>
                  </pic:nvPicPr>
                  <pic:blipFill rotWithShape="1">
                    <a:blip r:embed="rId9"/>
                    <a:srcRect l="65665" t="7532" r="4480" b="67992"/>
                    <a:stretch/>
                  </pic:blipFill>
                  <pic:spPr>
                    <a:xfrm>
                      <a:off x="0" y="0"/>
                      <a:ext cx="2214283" cy="1048871"/>
                    </a:xfrm>
                    <a:prstGeom prst="rect">
                      <a:avLst/>
                    </a:prstGeom>
                  </pic:spPr>
                </pic:pic>
              </a:graphicData>
            </a:graphic>
          </wp:inline>
        </w:drawing>
      </w:r>
    </w:p>
    <w:p w14:paraId="070DE167" w14:textId="77777777" w:rsidR="001F2949" w:rsidRDefault="001F2949"/>
    <w:p w14:paraId="4B4AB0C8" w14:textId="77777777" w:rsidR="001F2949" w:rsidRDefault="001F2949"/>
    <w:p w14:paraId="66758F80" w14:textId="5E79A64C" w:rsidR="006A4760" w:rsidRPr="00932889" w:rsidRDefault="00932889" w:rsidP="003A2AB8">
      <w:pPr>
        <w:jc w:val="center"/>
        <w:rPr>
          <w:b/>
          <w:bCs/>
          <w:sz w:val="72"/>
          <w:szCs w:val="72"/>
        </w:rPr>
      </w:pPr>
      <w:r w:rsidRPr="00932889">
        <w:rPr>
          <w:b/>
          <w:bCs/>
          <w:sz w:val="72"/>
          <w:szCs w:val="72"/>
        </w:rPr>
        <w:t>H</w:t>
      </w:r>
      <w:r w:rsidR="00B07EA9" w:rsidRPr="00932889">
        <w:rPr>
          <w:b/>
          <w:bCs/>
          <w:sz w:val="72"/>
          <w:szCs w:val="72"/>
        </w:rPr>
        <w:t>ealthy Ageing and Frailty Strategy</w:t>
      </w:r>
    </w:p>
    <w:p w14:paraId="1E9242CC" w14:textId="6DB22655" w:rsidR="00B07EA9" w:rsidRDefault="00B07EA9" w:rsidP="006A4760">
      <w:pPr>
        <w:jc w:val="center"/>
        <w:rPr>
          <w:sz w:val="52"/>
          <w:szCs w:val="52"/>
        </w:rPr>
      </w:pPr>
      <w:r w:rsidRPr="00932889">
        <w:rPr>
          <w:sz w:val="52"/>
          <w:szCs w:val="52"/>
        </w:rPr>
        <w:t>2025-2028</w:t>
      </w:r>
    </w:p>
    <w:p w14:paraId="7472CC8A" w14:textId="5E90972E" w:rsidR="00B5053B" w:rsidRDefault="003F2B88" w:rsidP="006A4760">
      <w:pPr>
        <w:jc w:val="center"/>
        <w:rPr>
          <w:sz w:val="52"/>
          <w:szCs w:val="52"/>
        </w:rPr>
      </w:pPr>
      <w:r>
        <w:rPr>
          <w:sz w:val="52"/>
          <w:szCs w:val="52"/>
        </w:rPr>
        <w:t>DRAFT v1.0</w:t>
      </w:r>
    </w:p>
    <w:p w14:paraId="09A88F32" w14:textId="77777777" w:rsidR="003F2B88" w:rsidRDefault="003F2B88" w:rsidP="00B5053B">
      <w:pPr>
        <w:jc w:val="center"/>
        <w:rPr>
          <w:rFonts w:asciiTheme="majorHAnsi" w:hAnsiTheme="majorHAnsi" w:cstheme="majorHAnsi"/>
          <w:i/>
          <w:color w:val="215E99" w:themeColor="text2" w:themeTint="BF"/>
          <w:sz w:val="32"/>
          <w:szCs w:val="32"/>
          <w:shd w:val="clear" w:color="auto" w:fill="FFFFFF"/>
        </w:rPr>
      </w:pPr>
    </w:p>
    <w:p w14:paraId="54D3E1F0" w14:textId="6C04A7DC" w:rsidR="00B5053B" w:rsidRPr="00CD1FB3" w:rsidRDefault="00B5053B" w:rsidP="00B5053B">
      <w:pPr>
        <w:jc w:val="center"/>
        <w:rPr>
          <w:rFonts w:asciiTheme="majorHAnsi" w:hAnsiTheme="majorHAnsi" w:cstheme="majorHAnsi"/>
          <w:i/>
          <w:color w:val="215E99" w:themeColor="text2" w:themeTint="BF"/>
          <w:sz w:val="32"/>
          <w:szCs w:val="32"/>
          <w:shd w:val="clear" w:color="auto" w:fill="FFFFFF"/>
        </w:rPr>
      </w:pPr>
      <w:r w:rsidRPr="00CD1FB3">
        <w:rPr>
          <w:rFonts w:asciiTheme="majorHAnsi" w:hAnsiTheme="majorHAnsi" w:cstheme="majorHAnsi"/>
          <w:i/>
          <w:color w:val="215E99" w:themeColor="text2" w:themeTint="BF"/>
          <w:sz w:val="32"/>
          <w:szCs w:val="32"/>
          <w:shd w:val="clear" w:color="auto" w:fill="FFFFFF"/>
        </w:rPr>
        <w:t>“Not all older people are frail and frailty is not an inevitable part of ageing.”</w:t>
      </w:r>
    </w:p>
    <w:p w14:paraId="523BF141" w14:textId="1F5E3CA7" w:rsidR="00C56FEC" w:rsidRDefault="00B5053B" w:rsidP="00C56FEC">
      <w:pPr>
        <w:jc w:val="center"/>
        <w:rPr>
          <w:rFonts w:asciiTheme="majorHAnsi" w:hAnsiTheme="majorHAnsi" w:cstheme="majorHAnsi"/>
          <w:b/>
          <w:bCs/>
          <w:sz w:val="28"/>
          <w:szCs w:val="28"/>
        </w:rPr>
      </w:pPr>
      <w:r w:rsidRPr="00B5053B">
        <w:rPr>
          <w:rFonts w:asciiTheme="majorHAnsi" w:hAnsiTheme="majorHAnsi" w:cstheme="majorHAnsi"/>
          <w:color w:val="215E99" w:themeColor="text2" w:themeTint="BF"/>
          <w:sz w:val="20"/>
          <w:szCs w:val="20"/>
          <w:shd w:val="clear" w:color="auto" w:fill="FFFFFF"/>
        </w:rPr>
        <w:t>British Geriatric Society</w:t>
      </w:r>
    </w:p>
    <w:p w14:paraId="66A5EF39" w14:textId="77777777" w:rsidR="00044332" w:rsidRDefault="00044332">
      <w:pPr>
        <w:rPr>
          <w:rFonts w:asciiTheme="majorHAnsi" w:hAnsiTheme="majorHAnsi" w:cstheme="majorHAnsi"/>
          <w:b/>
          <w:bCs/>
          <w:sz w:val="28"/>
          <w:szCs w:val="28"/>
        </w:rPr>
      </w:pPr>
    </w:p>
    <w:p w14:paraId="42248A08" w14:textId="77777777" w:rsidR="00044332" w:rsidRDefault="00044332">
      <w:pPr>
        <w:rPr>
          <w:rFonts w:asciiTheme="majorHAnsi" w:hAnsiTheme="majorHAnsi" w:cstheme="majorHAnsi"/>
          <w:b/>
          <w:bCs/>
          <w:sz w:val="28"/>
          <w:szCs w:val="28"/>
        </w:rPr>
      </w:pPr>
    </w:p>
    <w:p w14:paraId="6510184E" w14:textId="77777777" w:rsidR="008F7D16" w:rsidRDefault="008F7D16">
      <w:pPr>
        <w:rPr>
          <w:rFonts w:asciiTheme="majorHAnsi" w:hAnsiTheme="majorHAnsi" w:cstheme="majorHAnsi"/>
          <w:b/>
          <w:bCs/>
          <w:sz w:val="28"/>
          <w:szCs w:val="28"/>
        </w:rPr>
      </w:pPr>
    </w:p>
    <w:p w14:paraId="400A4E03" w14:textId="77777777" w:rsidR="008F7D16" w:rsidRDefault="008F7D16">
      <w:pPr>
        <w:rPr>
          <w:rFonts w:asciiTheme="majorHAnsi" w:hAnsiTheme="majorHAnsi" w:cstheme="majorHAnsi"/>
          <w:b/>
          <w:bCs/>
          <w:sz w:val="28"/>
          <w:szCs w:val="28"/>
        </w:rPr>
      </w:pPr>
    </w:p>
    <w:p w14:paraId="738E8953" w14:textId="77777777" w:rsidR="008F7D16" w:rsidRDefault="008F7D16">
      <w:pPr>
        <w:rPr>
          <w:rFonts w:asciiTheme="majorHAnsi" w:hAnsiTheme="majorHAnsi" w:cstheme="majorHAnsi"/>
          <w:b/>
          <w:bCs/>
          <w:sz w:val="28"/>
          <w:szCs w:val="28"/>
        </w:rPr>
      </w:pPr>
    </w:p>
    <w:p w14:paraId="658E9731" w14:textId="663E3C4B" w:rsidR="00044332" w:rsidRPr="00044332" w:rsidRDefault="00044332" w:rsidP="00044332">
      <w:pPr>
        <w:spacing w:after="0" w:line="360" w:lineRule="auto"/>
        <w:rPr>
          <w:rFonts w:asciiTheme="majorHAnsi" w:hAnsiTheme="majorHAnsi" w:cstheme="majorHAnsi"/>
          <w:bCs/>
        </w:rPr>
      </w:pPr>
      <w:r w:rsidRPr="006710A5">
        <w:rPr>
          <w:rFonts w:asciiTheme="majorHAnsi" w:hAnsiTheme="majorHAnsi" w:cstheme="majorHAnsi"/>
          <w:bCs/>
        </w:rPr>
        <w:t>‘Frailty’ is a term used in the medical literature and relevant national strategies and as such avoiding use of the term in this strategy potentially creates unhelpful confusion amongst our health and care workforce.  However, it is important to acknowledge that amongst the wider community the term ‘frailty’ has negative connotations and risks reinforcing negative stereo types of ageing; many people even at the more severe end of the frailty continuum may not identify with the term and it is not recommended for public-facing materials.  This strategy covers the full spectrum from frailty prevention (healthy ageing) to management of severe frailty.</w:t>
      </w:r>
    </w:p>
    <w:p w14:paraId="0EA50C0B" w14:textId="77777777" w:rsidR="00044332" w:rsidRDefault="00044332">
      <w:pPr>
        <w:rPr>
          <w:rFonts w:asciiTheme="majorHAnsi" w:hAnsiTheme="majorHAnsi" w:cstheme="majorHAnsi"/>
          <w:b/>
          <w:bCs/>
          <w:sz w:val="28"/>
          <w:szCs w:val="28"/>
        </w:rPr>
      </w:pPr>
      <w:r>
        <w:rPr>
          <w:rFonts w:asciiTheme="majorHAnsi" w:hAnsiTheme="majorHAnsi" w:cstheme="majorHAnsi"/>
          <w:b/>
          <w:bCs/>
          <w:sz w:val="28"/>
          <w:szCs w:val="28"/>
        </w:rPr>
        <w:br w:type="page"/>
      </w:r>
    </w:p>
    <w:p w14:paraId="5E8F9CC7" w14:textId="06D75A04" w:rsidR="00BD7A90" w:rsidRPr="00FA6631" w:rsidRDefault="00C321BD" w:rsidP="00CD1FB3">
      <w:pPr>
        <w:spacing w:line="360" w:lineRule="auto"/>
      </w:pPr>
      <w:r>
        <w:rPr>
          <w:rFonts w:asciiTheme="majorHAnsi" w:hAnsiTheme="majorHAnsi" w:cstheme="majorHAnsi"/>
          <w:b/>
          <w:bCs/>
          <w:sz w:val="28"/>
          <w:szCs w:val="28"/>
        </w:rPr>
        <w:lastRenderedPageBreak/>
        <w:t>Why We Need A Healthy Ageing And Frailty Strategy</w:t>
      </w:r>
    </w:p>
    <w:p w14:paraId="74EB702C" w14:textId="1F29FC7F" w:rsidR="00947947" w:rsidRDefault="00FE678D" w:rsidP="00CD1FB3">
      <w:pPr>
        <w:spacing w:after="0" w:line="360" w:lineRule="auto"/>
        <w:rPr>
          <w:rFonts w:asciiTheme="majorHAnsi" w:hAnsiTheme="majorHAnsi" w:cstheme="majorHAnsi"/>
          <w:bCs/>
        </w:rPr>
      </w:pPr>
      <w:r w:rsidRPr="00523855">
        <w:rPr>
          <w:rFonts w:asciiTheme="majorHAnsi" w:hAnsiTheme="majorHAnsi" w:cstheme="majorHAnsi"/>
          <w:bCs/>
        </w:rPr>
        <w:t>Frailty</w:t>
      </w:r>
      <w:r w:rsidR="0064698D" w:rsidRPr="00523855">
        <w:rPr>
          <w:rFonts w:asciiTheme="majorHAnsi" w:hAnsiTheme="majorHAnsi" w:cstheme="majorHAnsi"/>
          <w:bCs/>
        </w:rPr>
        <w:t xml:space="preserve"> is </w:t>
      </w:r>
      <w:r w:rsidR="00C45FF7">
        <w:rPr>
          <w:rFonts w:asciiTheme="majorHAnsi" w:hAnsiTheme="majorHAnsi" w:cstheme="majorHAnsi"/>
          <w:bCs/>
        </w:rPr>
        <w:t xml:space="preserve">a </w:t>
      </w:r>
      <w:r w:rsidR="00FC2DBE">
        <w:rPr>
          <w:rFonts w:asciiTheme="majorHAnsi" w:hAnsiTheme="majorHAnsi" w:cstheme="majorHAnsi"/>
          <w:bCs/>
        </w:rPr>
        <w:t>loss of</w:t>
      </w:r>
      <w:r w:rsidR="00C45FF7">
        <w:rPr>
          <w:rFonts w:asciiTheme="majorHAnsi" w:hAnsiTheme="majorHAnsi" w:cstheme="majorHAnsi"/>
          <w:bCs/>
        </w:rPr>
        <w:t xml:space="preserve"> </w:t>
      </w:r>
      <w:r w:rsidR="00EB0D07">
        <w:rPr>
          <w:rFonts w:asciiTheme="majorHAnsi" w:hAnsiTheme="majorHAnsi" w:cstheme="majorHAnsi"/>
          <w:bCs/>
        </w:rPr>
        <w:t xml:space="preserve">physical and mental </w:t>
      </w:r>
      <w:r w:rsidR="00947947">
        <w:rPr>
          <w:rFonts w:asciiTheme="majorHAnsi" w:hAnsiTheme="majorHAnsi" w:cstheme="majorHAnsi"/>
          <w:bCs/>
        </w:rPr>
        <w:t>resilience</w:t>
      </w:r>
      <w:r w:rsidR="00C45FF7">
        <w:rPr>
          <w:rFonts w:asciiTheme="majorHAnsi" w:hAnsiTheme="majorHAnsi" w:cstheme="majorHAnsi"/>
          <w:bCs/>
        </w:rPr>
        <w:t xml:space="preserve">, leaving a person vulnerable to </w:t>
      </w:r>
      <w:r w:rsidR="00832DB6">
        <w:rPr>
          <w:rFonts w:asciiTheme="majorHAnsi" w:hAnsiTheme="majorHAnsi" w:cstheme="majorHAnsi"/>
          <w:bCs/>
        </w:rPr>
        <w:t xml:space="preserve">declining </w:t>
      </w:r>
      <w:r w:rsidR="00F73DCB">
        <w:rPr>
          <w:rFonts w:asciiTheme="majorHAnsi" w:hAnsiTheme="majorHAnsi" w:cstheme="majorHAnsi"/>
          <w:bCs/>
        </w:rPr>
        <w:t xml:space="preserve">health and </w:t>
      </w:r>
      <w:r w:rsidR="00D44AFD">
        <w:rPr>
          <w:rFonts w:asciiTheme="majorHAnsi" w:hAnsiTheme="majorHAnsi" w:cstheme="majorHAnsi"/>
          <w:bCs/>
        </w:rPr>
        <w:t xml:space="preserve">the inability to </w:t>
      </w:r>
      <w:r w:rsidR="0099791F">
        <w:rPr>
          <w:rFonts w:asciiTheme="majorHAnsi" w:hAnsiTheme="majorHAnsi" w:cstheme="majorHAnsi"/>
          <w:bCs/>
        </w:rPr>
        <w:t xml:space="preserve">recover well </w:t>
      </w:r>
      <w:r w:rsidR="00D44AFD">
        <w:rPr>
          <w:rFonts w:asciiTheme="majorHAnsi" w:hAnsiTheme="majorHAnsi" w:cstheme="majorHAnsi"/>
          <w:bCs/>
        </w:rPr>
        <w:t xml:space="preserve">from </w:t>
      </w:r>
      <w:r w:rsidR="00061300">
        <w:rPr>
          <w:rFonts w:asciiTheme="majorHAnsi" w:hAnsiTheme="majorHAnsi" w:cstheme="majorHAnsi"/>
          <w:bCs/>
        </w:rPr>
        <w:t>adverse</w:t>
      </w:r>
      <w:r w:rsidR="00D54555">
        <w:rPr>
          <w:rFonts w:asciiTheme="majorHAnsi" w:hAnsiTheme="majorHAnsi" w:cstheme="majorHAnsi"/>
          <w:bCs/>
        </w:rPr>
        <w:t xml:space="preserve"> events</w:t>
      </w:r>
      <w:r w:rsidR="00061300">
        <w:rPr>
          <w:rFonts w:asciiTheme="majorHAnsi" w:hAnsiTheme="majorHAnsi" w:cstheme="majorHAnsi"/>
          <w:bCs/>
        </w:rPr>
        <w:t xml:space="preserve"> such as </w:t>
      </w:r>
      <w:r w:rsidR="00D54555">
        <w:rPr>
          <w:rFonts w:asciiTheme="majorHAnsi" w:hAnsiTheme="majorHAnsi" w:cstheme="majorHAnsi"/>
          <w:bCs/>
        </w:rPr>
        <w:t>illness, injury</w:t>
      </w:r>
      <w:r w:rsidR="00061300">
        <w:rPr>
          <w:rFonts w:asciiTheme="majorHAnsi" w:hAnsiTheme="majorHAnsi" w:cstheme="majorHAnsi"/>
          <w:bCs/>
        </w:rPr>
        <w:t xml:space="preserve"> or bereavement</w:t>
      </w:r>
      <w:r w:rsidR="00D54555">
        <w:rPr>
          <w:rFonts w:asciiTheme="majorHAnsi" w:hAnsiTheme="majorHAnsi" w:cstheme="majorHAnsi"/>
          <w:bCs/>
        </w:rPr>
        <w:t>.</w:t>
      </w:r>
      <w:r w:rsidR="00061300">
        <w:rPr>
          <w:rFonts w:asciiTheme="majorHAnsi" w:hAnsiTheme="majorHAnsi" w:cstheme="majorHAnsi"/>
          <w:bCs/>
        </w:rPr>
        <w:t xml:space="preserve"> </w:t>
      </w:r>
      <w:r w:rsidR="00C954BA" w:rsidRPr="00523855">
        <w:rPr>
          <w:rFonts w:asciiTheme="majorHAnsi" w:hAnsiTheme="majorHAnsi" w:cstheme="majorHAnsi"/>
          <w:bCs/>
        </w:rPr>
        <w:t xml:space="preserve">Frailty is important because </w:t>
      </w:r>
      <w:r w:rsidR="00C954BA">
        <w:rPr>
          <w:rFonts w:asciiTheme="majorHAnsi" w:hAnsiTheme="majorHAnsi" w:cstheme="majorHAnsi"/>
          <w:bCs/>
        </w:rPr>
        <w:t xml:space="preserve">it </w:t>
      </w:r>
      <w:r w:rsidR="002C192C">
        <w:rPr>
          <w:rFonts w:asciiTheme="majorHAnsi" w:hAnsiTheme="majorHAnsi" w:cstheme="majorHAnsi"/>
          <w:bCs/>
        </w:rPr>
        <w:t xml:space="preserve">compromises </w:t>
      </w:r>
      <w:r w:rsidR="00C954BA">
        <w:rPr>
          <w:rFonts w:asciiTheme="majorHAnsi" w:hAnsiTheme="majorHAnsi" w:cstheme="majorHAnsi"/>
          <w:bCs/>
        </w:rPr>
        <w:t>quality of life for the individual</w:t>
      </w:r>
      <w:r w:rsidR="003E07E2">
        <w:rPr>
          <w:rFonts w:asciiTheme="majorHAnsi" w:hAnsiTheme="majorHAnsi" w:cstheme="majorHAnsi"/>
          <w:bCs/>
        </w:rPr>
        <w:t xml:space="preserve"> and increases </w:t>
      </w:r>
      <w:r w:rsidR="008C6506" w:rsidRPr="00555462">
        <w:rPr>
          <w:rFonts w:asciiTheme="majorHAnsi" w:hAnsiTheme="majorHAnsi" w:cstheme="majorHAnsi"/>
          <w:lang w:val="en-US"/>
        </w:rPr>
        <w:t>the risk of death, disability,</w:t>
      </w:r>
      <w:r w:rsidR="008C6506">
        <w:rPr>
          <w:rFonts w:asciiTheme="majorHAnsi" w:hAnsiTheme="majorHAnsi" w:cstheme="majorHAnsi"/>
          <w:lang w:val="en-US"/>
        </w:rPr>
        <w:t xml:space="preserve"> dementia,</w:t>
      </w:r>
      <w:r w:rsidR="008C6506" w:rsidRPr="00555462">
        <w:rPr>
          <w:rFonts w:asciiTheme="majorHAnsi" w:hAnsiTheme="majorHAnsi" w:cstheme="majorHAnsi"/>
          <w:lang w:val="en-US"/>
        </w:rPr>
        <w:t xml:space="preserve"> hospital admission, falls and the need for long-term car</w:t>
      </w:r>
      <w:r w:rsidR="00600085">
        <w:rPr>
          <w:rFonts w:asciiTheme="majorHAnsi" w:hAnsiTheme="majorHAnsi" w:cstheme="majorHAnsi"/>
          <w:lang w:val="en-US"/>
        </w:rPr>
        <w:t>e.</w:t>
      </w:r>
      <w:r w:rsidR="004E5222">
        <w:rPr>
          <w:rFonts w:asciiTheme="majorHAnsi" w:hAnsiTheme="majorHAnsi" w:cstheme="majorHAnsi"/>
          <w:bCs/>
        </w:rPr>
        <w:t xml:space="preserve">  </w:t>
      </w:r>
      <w:r w:rsidR="00645A37">
        <w:rPr>
          <w:rFonts w:asciiTheme="majorHAnsi" w:hAnsiTheme="majorHAnsi" w:cstheme="majorHAnsi"/>
          <w:bCs/>
        </w:rPr>
        <w:t>It is a spectrum, from mild to severe</w:t>
      </w:r>
      <w:r w:rsidR="00FA49EF">
        <w:rPr>
          <w:rFonts w:asciiTheme="majorHAnsi" w:hAnsiTheme="majorHAnsi" w:cstheme="majorHAnsi"/>
          <w:bCs/>
        </w:rPr>
        <w:t>, meaning that many people living with frailty remain independent</w:t>
      </w:r>
      <w:r w:rsidR="009D61D0">
        <w:rPr>
          <w:rFonts w:asciiTheme="majorHAnsi" w:hAnsiTheme="majorHAnsi" w:cstheme="majorHAnsi"/>
          <w:bCs/>
        </w:rPr>
        <w:t xml:space="preserve"> and can live full lives with varying </w:t>
      </w:r>
      <w:r w:rsidR="00C14092">
        <w:rPr>
          <w:rFonts w:asciiTheme="majorHAnsi" w:hAnsiTheme="majorHAnsi" w:cstheme="majorHAnsi"/>
          <w:bCs/>
        </w:rPr>
        <w:t>degrees</w:t>
      </w:r>
      <w:r w:rsidR="009D61D0">
        <w:rPr>
          <w:rFonts w:asciiTheme="majorHAnsi" w:hAnsiTheme="majorHAnsi" w:cstheme="majorHAnsi"/>
          <w:bCs/>
        </w:rPr>
        <w:t xml:space="preserve"> of support</w:t>
      </w:r>
      <w:r w:rsidR="009D5224">
        <w:rPr>
          <w:rFonts w:asciiTheme="majorHAnsi" w:hAnsiTheme="majorHAnsi" w:cstheme="majorHAnsi"/>
          <w:bCs/>
        </w:rPr>
        <w:t xml:space="preserve">.  </w:t>
      </w:r>
      <w:r w:rsidR="009D5224" w:rsidRPr="004452D9">
        <w:rPr>
          <w:rFonts w:asciiTheme="majorHAnsi" w:hAnsiTheme="majorHAnsi" w:cstheme="majorHAnsi"/>
          <w:b/>
        </w:rPr>
        <w:t xml:space="preserve">The </w:t>
      </w:r>
      <w:r w:rsidR="004F5BCA" w:rsidRPr="004452D9">
        <w:rPr>
          <w:rFonts w:asciiTheme="majorHAnsi" w:hAnsiTheme="majorHAnsi" w:cstheme="majorHAnsi"/>
          <w:b/>
        </w:rPr>
        <w:t xml:space="preserve">likelihood </w:t>
      </w:r>
      <w:r w:rsidR="009D5224" w:rsidRPr="004452D9">
        <w:rPr>
          <w:rFonts w:asciiTheme="majorHAnsi" w:hAnsiTheme="majorHAnsi" w:cstheme="majorHAnsi"/>
          <w:b/>
        </w:rPr>
        <w:t>of frailty increases as we get older, but it is not inevitable</w:t>
      </w:r>
      <w:r w:rsidR="00F672F0" w:rsidRPr="004452D9">
        <w:rPr>
          <w:rFonts w:asciiTheme="majorHAnsi" w:hAnsiTheme="majorHAnsi" w:cstheme="majorHAnsi"/>
          <w:b/>
        </w:rPr>
        <w:t>, and at various stages along the spectrum it can be prevented, delayed, reversed and manage</w:t>
      </w:r>
      <w:r w:rsidR="00316FD2" w:rsidRPr="004452D9">
        <w:rPr>
          <w:rFonts w:asciiTheme="majorHAnsi" w:hAnsiTheme="majorHAnsi" w:cstheme="majorHAnsi"/>
          <w:b/>
        </w:rPr>
        <w:t>d.</w:t>
      </w:r>
      <w:r w:rsidR="00316FD2">
        <w:rPr>
          <w:rFonts w:asciiTheme="majorHAnsi" w:hAnsiTheme="majorHAnsi" w:cstheme="majorHAnsi"/>
          <w:bCs/>
        </w:rPr>
        <w:t xml:space="preserve"> Conversely, frailty can occur at a younger age for those with</w:t>
      </w:r>
      <w:r w:rsidR="008B0307">
        <w:rPr>
          <w:rFonts w:asciiTheme="majorHAnsi" w:hAnsiTheme="majorHAnsi" w:cstheme="majorHAnsi"/>
          <w:bCs/>
        </w:rPr>
        <w:t xml:space="preserve"> an accumulation</w:t>
      </w:r>
      <w:r w:rsidR="00DB52C4">
        <w:rPr>
          <w:rFonts w:asciiTheme="majorHAnsi" w:hAnsiTheme="majorHAnsi" w:cstheme="majorHAnsi"/>
          <w:bCs/>
        </w:rPr>
        <w:t xml:space="preserve"> </w:t>
      </w:r>
      <w:r w:rsidR="008B0307">
        <w:rPr>
          <w:rFonts w:asciiTheme="majorHAnsi" w:hAnsiTheme="majorHAnsi" w:cstheme="majorHAnsi"/>
          <w:bCs/>
        </w:rPr>
        <w:t xml:space="preserve">of health risks, </w:t>
      </w:r>
      <w:r w:rsidR="000B1E0E">
        <w:rPr>
          <w:rFonts w:asciiTheme="majorHAnsi" w:hAnsiTheme="majorHAnsi" w:cstheme="majorHAnsi"/>
          <w:bCs/>
        </w:rPr>
        <w:t xml:space="preserve">and the risk </w:t>
      </w:r>
      <w:r w:rsidR="00203582">
        <w:rPr>
          <w:rFonts w:asciiTheme="majorHAnsi" w:hAnsiTheme="majorHAnsi" w:cstheme="majorHAnsi"/>
          <w:bCs/>
        </w:rPr>
        <w:t xml:space="preserve">of </w:t>
      </w:r>
      <w:r w:rsidR="00410EDE">
        <w:rPr>
          <w:rFonts w:asciiTheme="majorHAnsi" w:hAnsiTheme="majorHAnsi" w:cstheme="majorHAnsi"/>
          <w:bCs/>
        </w:rPr>
        <w:t xml:space="preserve">early </w:t>
      </w:r>
      <w:r w:rsidR="00203582">
        <w:rPr>
          <w:rFonts w:asciiTheme="majorHAnsi" w:hAnsiTheme="majorHAnsi" w:cstheme="majorHAnsi"/>
          <w:bCs/>
        </w:rPr>
        <w:t xml:space="preserve">frailty </w:t>
      </w:r>
      <w:r w:rsidR="00393BBE">
        <w:rPr>
          <w:rFonts w:asciiTheme="majorHAnsi" w:hAnsiTheme="majorHAnsi" w:cstheme="majorHAnsi"/>
          <w:bCs/>
        </w:rPr>
        <w:t xml:space="preserve">is </w:t>
      </w:r>
      <w:r w:rsidR="000B1E0E">
        <w:rPr>
          <w:rFonts w:asciiTheme="majorHAnsi" w:hAnsiTheme="majorHAnsi" w:cstheme="majorHAnsi"/>
          <w:bCs/>
        </w:rPr>
        <w:t xml:space="preserve">higher among those </w:t>
      </w:r>
      <w:r w:rsidR="00702F6F">
        <w:rPr>
          <w:rFonts w:asciiTheme="majorHAnsi" w:hAnsiTheme="majorHAnsi" w:cstheme="majorHAnsi"/>
          <w:bCs/>
        </w:rPr>
        <w:t xml:space="preserve">living in deprivation, </w:t>
      </w:r>
      <w:r w:rsidR="00203582">
        <w:rPr>
          <w:rFonts w:asciiTheme="majorHAnsi" w:hAnsiTheme="majorHAnsi" w:cstheme="majorHAnsi"/>
          <w:bCs/>
        </w:rPr>
        <w:t xml:space="preserve">some ethnic minorities </w:t>
      </w:r>
      <w:r w:rsidR="00393BBE">
        <w:rPr>
          <w:rFonts w:asciiTheme="majorHAnsi" w:hAnsiTheme="majorHAnsi" w:cstheme="majorHAnsi"/>
          <w:bCs/>
        </w:rPr>
        <w:t xml:space="preserve">and those with chronic health conditions. </w:t>
      </w:r>
    </w:p>
    <w:p w14:paraId="0E68D9C0" w14:textId="77777777" w:rsidR="00A8100A" w:rsidRDefault="00A8100A" w:rsidP="00A8100A">
      <w:pPr>
        <w:spacing w:after="0" w:line="360" w:lineRule="auto"/>
        <w:rPr>
          <w:rFonts w:asciiTheme="majorHAnsi" w:hAnsiTheme="majorHAnsi" w:cstheme="majorHAnsi"/>
          <w:bCs/>
        </w:rPr>
      </w:pPr>
    </w:p>
    <w:p w14:paraId="606C2184" w14:textId="0B23FD91" w:rsidR="00E806C5" w:rsidRDefault="00357A26" w:rsidP="00A8100A">
      <w:pPr>
        <w:spacing w:after="0" w:line="360" w:lineRule="auto"/>
        <w:rPr>
          <w:rFonts w:asciiTheme="majorHAnsi" w:hAnsiTheme="majorHAnsi" w:cstheme="majorHAnsi"/>
          <w:bCs/>
        </w:rPr>
      </w:pPr>
      <w:r>
        <w:rPr>
          <w:rFonts w:asciiTheme="majorHAnsi" w:hAnsiTheme="majorHAnsi" w:cstheme="majorHAnsi"/>
          <w:bCs/>
        </w:rPr>
        <w:t>Frailty is a national priority b</w:t>
      </w:r>
      <w:r w:rsidR="00314D18">
        <w:rPr>
          <w:rFonts w:asciiTheme="majorHAnsi" w:hAnsiTheme="majorHAnsi" w:cstheme="majorHAnsi"/>
          <w:bCs/>
        </w:rPr>
        <w:t xml:space="preserve">ecause the number of people </w:t>
      </w:r>
      <w:r w:rsidR="00105BFD">
        <w:rPr>
          <w:rFonts w:asciiTheme="majorHAnsi" w:hAnsiTheme="majorHAnsi" w:cstheme="majorHAnsi"/>
          <w:bCs/>
        </w:rPr>
        <w:t>at risk of frailty</w:t>
      </w:r>
      <w:r w:rsidR="00A90EDD">
        <w:rPr>
          <w:rFonts w:asciiTheme="majorHAnsi" w:hAnsiTheme="majorHAnsi" w:cstheme="majorHAnsi"/>
          <w:bCs/>
        </w:rPr>
        <w:t xml:space="preserve"> i</w:t>
      </w:r>
      <w:r>
        <w:rPr>
          <w:rFonts w:asciiTheme="majorHAnsi" w:hAnsiTheme="majorHAnsi" w:cstheme="majorHAnsi"/>
          <w:bCs/>
        </w:rPr>
        <w:t>s growing</w:t>
      </w:r>
      <w:r w:rsidR="00105BFD">
        <w:rPr>
          <w:rFonts w:asciiTheme="majorHAnsi" w:hAnsiTheme="majorHAnsi" w:cstheme="majorHAnsi"/>
          <w:bCs/>
        </w:rPr>
        <w:t>, and with it an increase in the need for health and care services</w:t>
      </w:r>
      <w:r w:rsidR="00A760F3">
        <w:rPr>
          <w:rFonts w:asciiTheme="majorHAnsi" w:hAnsiTheme="majorHAnsi" w:cstheme="majorHAnsi"/>
          <w:bCs/>
        </w:rPr>
        <w:t xml:space="preserve">. </w:t>
      </w:r>
      <w:r w:rsidR="00B43613" w:rsidRPr="00523855">
        <w:rPr>
          <w:rFonts w:asciiTheme="majorHAnsi" w:hAnsiTheme="majorHAnsi" w:cstheme="majorHAnsi"/>
          <w:bCs/>
        </w:rPr>
        <w:t xml:space="preserve">Years </w:t>
      </w:r>
      <w:r w:rsidR="00A760F3">
        <w:rPr>
          <w:rFonts w:asciiTheme="majorHAnsi" w:hAnsiTheme="majorHAnsi" w:cstheme="majorHAnsi"/>
          <w:bCs/>
        </w:rPr>
        <w:t xml:space="preserve">– or decades </w:t>
      </w:r>
      <w:r w:rsidR="00417F26">
        <w:rPr>
          <w:rFonts w:asciiTheme="majorHAnsi" w:hAnsiTheme="majorHAnsi" w:cstheme="majorHAnsi"/>
          <w:bCs/>
        </w:rPr>
        <w:t>–</w:t>
      </w:r>
      <w:r w:rsidR="00A760F3">
        <w:rPr>
          <w:rFonts w:asciiTheme="majorHAnsi" w:hAnsiTheme="majorHAnsi" w:cstheme="majorHAnsi"/>
          <w:bCs/>
        </w:rPr>
        <w:t xml:space="preserve"> </w:t>
      </w:r>
      <w:r w:rsidR="00B43613" w:rsidRPr="00523855">
        <w:rPr>
          <w:rFonts w:asciiTheme="majorHAnsi" w:hAnsiTheme="majorHAnsi" w:cstheme="majorHAnsi"/>
          <w:bCs/>
        </w:rPr>
        <w:t>spent in ill healt</w:t>
      </w:r>
      <w:r w:rsidR="005B3014">
        <w:rPr>
          <w:rFonts w:asciiTheme="majorHAnsi" w:hAnsiTheme="majorHAnsi" w:cstheme="majorHAnsi"/>
          <w:bCs/>
        </w:rPr>
        <w:t>h mean</w:t>
      </w:r>
      <w:r w:rsidR="00B43613" w:rsidRPr="00523855">
        <w:rPr>
          <w:rFonts w:asciiTheme="majorHAnsi" w:hAnsiTheme="majorHAnsi" w:cstheme="majorHAnsi"/>
          <w:bCs/>
        </w:rPr>
        <w:t xml:space="preserve"> personal suffering</w:t>
      </w:r>
      <w:r w:rsidR="00417F26">
        <w:rPr>
          <w:rFonts w:asciiTheme="majorHAnsi" w:hAnsiTheme="majorHAnsi" w:cstheme="majorHAnsi"/>
          <w:bCs/>
        </w:rPr>
        <w:t>, strain on families,</w:t>
      </w:r>
      <w:r w:rsidR="00B43613" w:rsidRPr="00523855">
        <w:rPr>
          <w:rFonts w:asciiTheme="majorHAnsi" w:hAnsiTheme="majorHAnsi" w:cstheme="majorHAnsi"/>
          <w:bCs/>
        </w:rPr>
        <w:t xml:space="preserve"> and use of health and social care</w:t>
      </w:r>
      <w:r w:rsidR="004452D9">
        <w:rPr>
          <w:rFonts w:asciiTheme="majorHAnsi" w:hAnsiTheme="majorHAnsi" w:cstheme="majorHAnsi"/>
          <w:bCs/>
        </w:rPr>
        <w:t xml:space="preserve"> services</w:t>
      </w:r>
      <w:r w:rsidR="00B43613" w:rsidRPr="00523855">
        <w:rPr>
          <w:rFonts w:asciiTheme="majorHAnsi" w:hAnsiTheme="majorHAnsi" w:cstheme="majorHAnsi"/>
          <w:bCs/>
        </w:rPr>
        <w:t xml:space="preserve">.  </w:t>
      </w:r>
      <w:r w:rsidR="00B5053B">
        <w:rPr>
          <w:rFonts w:asciiTheme="majorHAnsi" w:hAnsiTheme="majorHAnsi" w:cstheme="majorHAnsi"/>
          <w:bCs/>
        </w:rPr>
        <w:t xml:space="preserve">Evidence shows that once established, the </w:t>
      </w:r>
      <w:r w:rsidR="004452D9">
        <w:rPr>
          <w:rFonts w:asciiTheme="majorHAnsi" w:hAnsiTheme="majorHAnsi" w:cstheme="majorHAnsi"/>
          <w:bCs/>
        </w:rPr>
        <w:t>trajectory of f</w:t>
      </w:r>
      <w:r w:rsidR="00B5053B">
        <w:rPr>
          <w:rFonts w:asciiTheme="majorHAnsi" w:hAnsiTheme="majorHAnsi" w:cstheme="majorHAnsi"/>
          <w:bCs/>
        </w:rPr>
        <w:t>railty accelerates</w:t>
      </w:r>
      <w:r w:rsidR="00460D72">
        <w:rPr>
          <w:rStyle w:val="FootnoteReference"/>
          <w:rFonts w:asciiTheme="majorHAnsi" w:hAnsiTheme="majorHAnsi" w:cstheme="majorHAnsi"/>
          <w:bCs/>
        </w:rPr>
        <w:footnoteReference w:id="1"/>
      </w:r>
      <w:r w:rsidR="00460D72">
        <w:rPr>
          <w:rFonts w:asciiTheme="majorHAnsi" w:hAnsiTheme="majorHAnsi" w:cstheme="majorHAnsi"/>
          <w:bCs/>
        </w:rPr>
        <w:t xml:space="preserve"> </w:t>
      </w:r>
      <w:r w:rsidR="00B5053B">
        <w:rPr>
          <w:rFonts w:asciiTheme="majorHAnsi" w:hAnsiTheme="majorHAnsi" w:cstheme="majorHAnsi"/>
          <w:bCs/>
        </w:rPr>
        <w:t>and increasing frailty means increased care costs</w:t>
      </w:r>
      <w:r w:rsidR="00460D72">
        <w:rPr>
          <w:rStyle w:val="FootnoteReference"/>
          <w:rFonts w:asciiTheme="majorHAnsi" w:hAnsiTheme="majorHAnsi" w:cstheme="majorHAnsi"/>
          <w:bCs/>
        </w:rPr>
        <w:footnoteReference w:id="2"/>
      </w:r>
      <w:r w:rsidR="00AA7482">
        <w:rPr>
          <w:rFonts w:asciiTheme="majorHAnsi" w:hAnsiTheme="majorHAnsi" w:cstheme="majorHAnsi"/>
          <w:bCs/>
        </w:rPr>
        <w:t>: a</w:t>
      </w:r>
      <w:r w:rsidR="00B5053B" w:rsidRPr="00B5053B">
        <w:rPr>
          <w:rFonts w:asciiTheme="majorHAnsi" w:hAnsiTheme="majorHAnsi" w:cstheme="majorHAnsi"/>
          <w:bCs/>
        </w:rPr>
        <w:t>fter adjusting for sociodemographic factors</w:t>
      </w:r>
      <w:r w:rsidR="00A90EDD">
        <w:rPr>
          <w:rFonts w:asciiTheme="majorHAnsi" w:hAnsiTheme="majorHAnsi" w:cstheme="majorHAnsi"/>
          <w:bCs/>
        </w:rPr>
        <w:t>,</w:t>
      </w:r>
      <w:r w:rsidR="00B5053B" w:rsidRPr="00B5053B">
        <w:rPr>
          <w:rFonts w:asciiTheme="majorHAnsi" w:hAnsiTheme="majorHAnsi" w:cstheme="majorHAnsi"/>
          <w:bCs/>
        </w:rPr>
        <w:t xml:space="preserve"> annual </w:t>
      </w:r>
      <w:r w:rsidR="00AA7482">
        <w:rPr>
          <w:rFonts w:asciiTheme="majorHAnsi" w:hAnsiTheme="majorHAnsi" w:cstheme="majorHAnsi"/>
          <w:bCs/>
        </w:rPr>
        <w:t xml:space="preserve">healthcare </w:t>
      </w:r>
      <w:r w:rsidR="00B5053B" w:rsidRPr="00B5053B">
        <w:rPr>
          <w:rFonts w:asciiTheme="majorHAnsi" w:hAnsiTheme="majorHAnsi" w:cstheme="majorHAnsi"/>
          <w:bCs/>
        </w:rPr>
        <w:t xml:space="preserve">costs doubled </w:t>
      </w:r>
      <w:r w:rsidR="00AA7482">
        <w:rPr>
          <w:rFonts w:asciiTheme="majorHAnsi" w:hAnsiTheme="majorHAnsi" w:cstheme="majorHAnsi"/>
          <w:bCs/>
        </w:rPr>
        <w:t xml:space="preserve">for </w:t>
      </w:r>
      <w:r w:rsidR="00A90EDD">
        <w:rPr>
          <w:rFonts w:asciiTheme="majorHAnsi" w:hAnsiTheme="majorHAnsi" w:cstheme="majorHAnsi"/>
          <w:bCs/>
        </w:rPr>
        <w:t>people</w:t>
      </w:r>
      <w:r w:rsidR="00AA7482">
        <w:rPr>
          <w:rFonts w:asciiTheme="majorHAnsi" w:hAnsiTheme="majorHAnsi" w:cstheme="majorHAnsi"/>
          <w:bCs/>
        </w:rPr>
        <w:t xml:space="preserve"> with</w:t>
      </w:r>
      <w:r w:rsidR="00B5053B" w:rsidRPr="00B5053B">
        <w:rPr>
          <w:rFonts w:asciiTheme="majorHAnsi" w:hAnsiTheme="majorHAnsi" w:cstheme="majorHAnsi"/>
          <w:bCs/>
        </w:rPr>
        <w:t xml:space="preserve"> mild frailty</w:t>
      </w:r>
      <w:r w:rsidR="00A90EDD">
        <w:rPr>
          <w:rFonts w:asciiTheme="majorHAnsi" w:hAnsiTheme="majorHAnsi" w:cstheme="majorHAnsi"/>
          <w:bCs/>
        </w:rPr>
        <w:t xml:space="preserve"> compared to ‘fit’ older adults</w:t>
      </w:r>
      <w:r w:rsidR="00B5053B" w:rsidRPr="00B5053B">
        <w:rPr>
          <w:rFonts w:asciiTheme="majorHAnsi" w:hAnsiTheme="majorHAnsi" w:cstheme="majorHAnsi"/>
          <w:bCs/>
        </w:rPr>
        <w:t xml:space="preserve">, tripled </w:t>
      </w:r>
      <w:r w:rsidR="00AA7482">
        <w:rPr>
          <w:rFonts w:asciiTheme="majorHAnsi" w:hAnsiTheme="majorHAnsi" w:cstheme="majorHAnsi"/>
          <w:bCs/>
        </w:rPr>
        <w:t xml:space="preserve">for the </w:t>
      </w:r>
      <w:r w:rsidR="00B5053B" w:rsidRPr="00B5053B">
        <w:rPr>
          <w:rFonts w:asciiTheme="majorHAnsi" w:hAnsiTheme="majorHAnsi" w:cstheme="majorHAnsi"/>
          <w:bCs/>
        </w:rPr>
        <w:t>moderate</w:t>
      </w:r>
      <w:r w:rsidR="00AA7482">
        <w:rPr>
          <w:rFonts w:asciiTheme="majorHAnsi" w:hAnsiTheme="majorHAnsi" w:cstheme="majorHAnsi"/>
          <w:bCs/>
        </w:rPr>
        <w:t>ly</w:t>
      </w:r>
      <w:r w:rsidR="00B5053B" w:rsidRPr="00B5053B">
        <w:rPr>
          <w:rFonts w:asciiTheme="majorHAnsi" w:hAnsiTheme="majorHAnsi" w:cstheme="majorHAnsi"/>
          <w:bCs/>
        </w:rPr>
        <w:t xml:space="preserve"> </w:t>
      </w:r>
      <w:r w:rsidR="00AA7482">
        <w:rPr>
          <w:rFonts w:asciiTheme="majorHAnsi" w:hAnsiTheme="majorHAnsi" w:cstheme="majorHAnsi"/>
          <w:bCs/>
        </w:rPr>
        <w:t xml:space="preserve">frail </w:t>
      </w:r>
      <w:r w:rsidR="00B5053B" w:rsidRPr="00B5053B">
        <w:rPr>
          <w:rFonts w:asciiTheme="majorHAnsi" w:hAnsiTheme="majorHAnsi" w:cstheme="majorHAnsi"/>
          <w:bCs/>
        </w:rPr>
        <w:t xml:space="preserve">and quadrupled </w:t>
      </w:r>
      <w:r w:rsidR="00AA7482">
        <w:rPr>
          <w:rFonts w:asciiTheme="majorHAnsi" w:hAnsiTheme="majorHAnsi" w:cstheme="majorHAnsi"/>
          <w:bCs/>
        </w:rPr>
        <w:t xml:space="preserve">for the </w:t>
      </w:r>
      <w:r w:rsidR="00B5053B" w:rsidRPr="00B5053B">
        <w:rPr>
          <w:rFonts w:asciiTheme="majorHAnsi" w:hAnsiTheme="majorHAnsi" w:cstheme="majorHAnsi"/>
          <w:bCs/>
        </w:rPr>
        <w:t>severe</w:t>
      </w:r>
      <w:r w:rsidR="00AA7482">
        <w:rPr>
          <w:rFonts w:asciiTheme="majorHAnsi" w:hAnsiTheme="majorHAnsi" w:cstheme="majorHAnsi"/>
          <w:bCs/>
        </w:rPr>
        <w:t xml:space="preserve">ly frail.  The impact of increasing care costs is further compounded by the pattern we are seeing at a population level: the </w:t>
      </w:r>
      <w:r w:rsidR="00B5053B">
        <w:rPr>
          <w:rFonts w:asciiTheme="majorHAnsi" w:hAnsiTheme="majorHAnsi" w:cstheme="majorHAnsi"/>
          <w:bCs/>
        </w:rPr>
        <w:t xml:space="preserve">proportion of </w:t>
      </w:r>
      <w:r w:rsidR="000F7F6C">
        <w:rPr>
          <w:rFonts w:asciiTheme="majorHAnsi" w:hAnsiTheme="majorHAnsi" w:cstheme="majorHAnsi"/>
          <w:bCs/>
        </w:rPr>
        <w:t xml:space="preserve">over 50s </w:t>
      </w:r>
      <w:r w:rsidR="00B5053B">
        <w:rPr>
          <w:rFonts w:asciiTheme="majorHAnsi" w:hAnsiTheme="majorHAnsi" w:cstheme="majorHAnsi"/>
          <w:bCs/>
        </w:rPr>
        <w:t xml:space="preserve">living with moderate </w:t>
      </w:r>
      <w:r w:rsidR="00AA7482">
        <w:rPr>
          <w:rFonts w:asciiTheme="majorHAnsi" w:hAnsiTheme="majorHAnsi" w:cstheme="majorHAnsi"/>
          <w:bCs/>
        </w:rPr>
        <w:t>frailty increased from 15% to 23%</w:t>
      </w:r>
      <w:r w:rsidR="00A90EDD">
        <w:rPr>
          <w:rFonts w:asciiTheme="majorHAnsi" w:hAnsiTheme="majorHAnsi" w:cstheme="majorHAnsi"/>
          <w:bCs/>
        </w:rPr>
        <w:t xml:space="preserve"> over an 11 year study period,</w:t>
      </w:r>
      <w:r w:rsidR="00AA7482">
        <w:rPr>
          <w:rFonts w:asciiTheme="majorHAnsi" w:hAnsiTheme="majorHAnsi" w:cstheme="majorHAnsi"/>
          <w:bCs/>
        </w:rPr>
        <w:t xml:space="preserve"> and from 5% to 15% with </w:t>
      </w:r>
      <w:r w:rsidR="00B5053B">
        <w:rPr>
          <w:rFonts w:asciiTheme="majorHAnsi" w:hAnsiTheme="majorHAnsi" w:cstheme="majorHAnsi"/>
          <w:bCs/>
        </w:rPr>
        <w:t>severe frailty</w:t>
      </w:r>
      <w:r w:rsidR="00A90EDD">
        <w:rPr>
          <w:rFonts w:asciiTheme="majorHAnsi" w:hAnsiTheme="majorHAnsi" w:cstheme="majorHAnsi"/>
          <w:bCs/>
          <w:vertAlign w:val="superscript"/>
        </w:rPr>
        <w:t>2</w:t>
      </w:r>
      <w:r w:rsidR="00AA7482">
        <w:rPr>
          <w:rFonts w:asciiTheme="majorHAnsi" w:hAnsiTheme="majorHAnsi" w:cstheme="majorHAnsi"/>
          <w:bCs/>
        </w:rPr>
        <w:t xml:space="preserve">.   </w:t>
      </w:r>
      <w:r w:rsidR="00FE093C" w:rsidRPr="000F7F6C">
        <w:rPr>
          <w:rFonts w:asciiTheme="majorHAnsi" w:hAnsiTheme="majorHAnsi" w:cstheme="majorHAnsi"/>
          <w:b/>
        </w:rPr>
        <w:t>D</w:t>
      </w:r>
      <w:r w:rsidR="00903292" w:rsidRPr="000F7F6C">
        <w:rPr>
          <w:rFonts w:asciiTheme="majorHAnsi" w:hAnsiTheme="majorHAnsi" w:cstheme="majorHAnsi"/>
          <w:b/>
        </w:rPr>
        <w:t>elaying the onset of frailty</w:t>
      </w:r>
      <w:r w:rsidR="00AA7482" w:rsidRPr="000F7F6C">
        <w:rPr>
          <w:rFonts w:asciiTheme="majorHAnsi" w:hAnsiTheme="majorHAnsi" w:cstheme="majorHAnsi"/>
          <w:b/>
        </w:rPr>
        <w:t>,</w:t>
      </w:r>
      <w:r w:rsidR="00FE093C" w:rsidRPr="000F7F6C">
        <w:rPr>
          <w:rFonts w:asciiTheme="majorHAnsi" w:hAnsiTheme="majorHAnsi" w:cstheme="majorHAnsi"/>
          <w:b/>
        </w:rPr>
        <w:t xml:space="preserve"> </w:t>
      </w:r>
      <w:r w:rsidR="00903292" w:rsidRPr="000F7F6C">
        <w:rPr>
          <w:rFonts w:asciiTheme="majorHAnsi" w:hAnsiTheme="majorHAnsi" w:cstheme="majorHAnsi"/>
          <w:b/>
        </w:rPr>
        <w:t>and managing frailty well</w:t>
      </w:r>
      <w:r w:rsidR="007A62E3">
        <w:rPr>
          <w:rFonts w:asciiTheme="majorHAnsi" w:hAnsiTheme="majorHAnsi" w:cstheme="majorHAnsi"/>
          <w:b/>
        </w:rPr>
        <w:t>,</w:t>
      </w:r>
      <w:r w:rsidR="00903292" w:rsidRPr="000F7F6C">
        <w:rPr>
          <w:rFonts w:asciiTheme="majorHAnsi" w:hAnsiTheme="majorHAnsi" w:cstheme="majorHAnsi"/>
          <w:b/>
        </w:rPr>
        <w:t xml:space="preserve"> to </w:t>
      </w:r>
      <w:r w:rsidR="00AA7482" w:rsidRPr="000F7F6C">
        <w:rPr>
          <w:rFonts w:asciiTheme="majorHAnsi" w:hAnsiTheme="majorHAnsi" w:cstheme="majorHAnsi"/>
          <w:b/>
        </w:rPr>
        <w:t xml:space="preserve">slow progression and </w:t>
      </w:r>
      <w:r w:rsidR="00903292" w:rsidRPr="000F7F6C">
        <w:rPr>
          <w:rFonts w:asciiTheme="majorHAnsi" w:hAnsiTheme="majorHAnsi" w:cstheme="majorHAnsi"/>
          <w:b/>
        </w:rPr>
        <w:t xml:space="preserve">reduce </w:t>
      </w:r>
      <w:r w:rsidR="00C95738" w:rsidRPr="000F7F6C">
        <w:rPr>
          <w:rFonts w:asciiTheme="majorHAnsi" w:hAnsiTheme="majorHAnsi" w:cstheme="majorHAnsi"/>
          <w:b/>
        </w:rPr>
        <w:t>the need for unplanned care</w:t>
      </w:r>
      <w:r w:rsidR="007A62E3">
        <w:rPr>
          <w:rFonts w:asciiTheme="majorHAnsi" w:hAnsiTheme="majorHAnsi" w:cstheme="majorHAnsi"/>
          <w:b/>
        </w:rPr>
        <w:t>,</w:t>
      </w:r>
      <w:r w:rsidR="00FE093C" w:rsidRPr="000F7F6C">
        <w:rPr>
          <w:rFonts w:asciiTheme="majorHAnsi" w:hAnsiTheme="majorHAnsi" w:cstheme="majorHAnsi"/>
          <w:b/>
        </w:rPr>
        <w:t xml:space="preserve"> </w:t>
      </w:r>
      <w:r w:rsidR="00C95738" w:rsidRPr="000F7F6C">
        <w:rPr>
          <w:rFonts w:asciiTheme="majorHAnsi" w:hAnsiTheme="majorHAnsi" w:cstheme="majorHAnsi"/>
          <w:b/>
        </w:rPr>
        <w:t>are</w:t>
      </w:r>
      <w:r w:rsidR="009503F5" w:rsidRPr="000F7F6C">
        <w:rPr>
          <w:rFonts w:asciiTheme="majorHAnsi" w:hAnsiTheme="majorHAnsi" w:cstheme="majorHAnsi"/>
          <w:b/>
        </w:rPr>
        <w:t xml:space="preserve"> </w:t>
      </w:r>
      <w:r w:rsidR="0042652A" w:rsidRPr="000F7F6C">
        <w:rPr>
          <w:rFonts w:asciiTheme="majorHAnsi" w:hAnsiTheme="majorHAnsi" w:cstheme="majorHAnsi"/>
          <w:b/>
        </w:rPr>
        <w:t xml:space="preserve">crucial </w:t>
      </w:r>
      <w:r w:rsidR="009503F5" w:rsidRPr="000F7F6C">
        <w:rPr>
          <w:rFonts w:asciiTheme="majorHAnsi" w:hAnsiTheme="majorHAnsi" w:cstheme="majorHAnsi"/>
          <w:b/>
        </w:rPr>
        <w:t xml:space="preserve">for the </w:t>
      </w:r>
      <w:r w:rsidR="00511586" w:rsidRPr="000F7F6C">
        <w:rPr>
          <w:rFonts w:asciiTheme="majorHAnsi" w:hAnsiTheme="majorHAnsi" w:cstheme="majorHAnsi"/>
          <w:b/>
        </w:rPr>
        <w:t xml:space="preserve">long term </w:t>
      </w:r>
      <w:r w:rsidR="00F973ED" w:rsidRPr="000F7F6C">
        <w:rPr>
          <w:rFonts w:asciiTheme="majorHAnsi" w:hAnsiTheme="majorHAnsi" w:cstheme="majorHAnsi"/>
          <w:b/>
        </w:rPr>
        <w:t xml:space="preserve">financial and environmental </w:t>
      </w:r>
      <w:r w:rsidR="00511586" w:rsidRPr="000F7F6C">
        <w:rPr>
          <w:rFonts w:asciiTheme="majorHAnsi" w:hAnsiTheme="majorHAnsi" w:cstheme="majorHAnsi"/>
          <w:b/>
        </w:rPr>
        <w:t xml:space="preserve">sustainability of </w:t>
      </w:r>
      <w:r w:rsidR="00A37734" w:rsidRPr="000F7F6C">
        <w:rPr>
          <w:rFonts w:asciiTheme="majorHAnsi" w:hAnsiTheme="majorHAnsi" w:cstheme="majorHAnsi"/>
          <w:b/>
        </w:rPr>
        <w:t>health and care services.</w:t>
      </w:r>
      <w:r w:rsidR="00A37734">
        <w:rPr>
          <w:rFonts w:asciiTheme="majorHAnsi" w:hAnsiTheme="majorHAnsi" w:cstheme="majorHAnsi"/>
          <w:bCs/>
        </w:rPr>
        <w:t xml:space="preserve"> </w:t>
      </w:r>
      <w:r w:rsidR="00B5053B">
        <w:rPr>
          <w:rFonts w:asciiTheme="majorHAnsi" w:hAnsiTheme="majorHAnsi" w:cstheme="majorHAnsi"/>
          <w:bCs/>
        </w:rPr>
        <w:t xml:space="preserve">  </w:t>
      </w:r>
    </w:p>
    <w:p w14:paraId="412812CB" w14:textId="77777777" w:rsidR="00A8100A" w:rsidRDefault="00A8100A" w:rsidP="00A8100A">
      <w:pPr>
        <w:spacing w:after="0" w:line="360" w:lineRule="auto"/>
        <w:rPr>
          <w:rFonts w:asciiTheme="majorHAnsi" w:hAnsiTheme="majorHAnsi" w:cstheme="majorHAnsi"/>
          <w:bCs/>
        </w:rPr>
      </w:pPr>
    </w:p>
    <w:p w14:paraId="53A72D0E" w14:textId="59F4F960" w:rsidR="00AD1EDF" w:rsidRDefault="00B141FE" w:rsidP="00A8100A">
      <w:pPr>
        <w:spacing w:after="0" w:line="360" w:lineRule="auto"/>
        <w:rPr>
          <w:rFonts w:asciiTheme="majorHAnsi" w:hAnsiTheme="majorHAnsi" w:cstheme="majorHAnsi"/>
          <w:b/>
          <w:bCs/>
        </w:rPr>
      </w:pPr>
      <w:r w:rsidRPr="00523855">
        <w:rPr>
          <w:rFonts w:asciiTheme="majorHAnsi" w:hAnsiTheme="majorHAnsi" w:cstheme="majorHAnsi"/>
          <w:bCs/>
        </w:rPr>
        <w:t>In Shropshire, Telford and Wrekin we have a larger proportion of people aged over 65 than nationally</w:t>
      </w:r>
      <w:r w:rsidR="00AD1EDF">
        <w:rPr>
          <w:rFonts w:asciiTheme="majorHAnsi" w:hAnsiTheme="majorHAnsi" w:cstheme="majorHAnsi"/>
          <w:bCs/>
        </w:rPr>
        <w:t xml:space="preserve"> (22% compared to 18% across England)</w:t>
      </w:r>
      <w:r w:rsidRPr="00523855">
        <w:rPr>
          <w:rFonts w:asciiTheme="majorHAnsi" w:hAnsiTheme="majorHAnsi" w:cstheme="majorHAnsi"/>
          <w:bCs/>
        </w:rPr>
        <w:t xml:space="preserve">, </w:t>
      </w:r>
      <w:r w:rsidR="002C5577">
        <w:rPr>
          <w:rFonts w:asciiTheme="majorHAnsi" w:hAnsiTheme="majorHAnsi" w:cstheme="majorHAnsi"/>
          <w:bCs/>
        </w:rPr>
        <w:t xml:space="preserve">along with </w:t>
      </w:r>
      <w:r w:rsidR="001A4CC7">
        <w:rPr>
          <w:rFonts w:asciiTheme="majorHAnsi" w:hAnsiTheme="majorHAnsi" w:cstheme="majorHAnsi"/>
          <w:bCs/>
        </w:rPr>
        <w:t xml:space="preserve">significant </w:t>
      </w:r>
      <w:r w:rsidR="0094011E">
        <w:rPr>
          <w:rFonts w:asciiTheme="majorHAnsi" w:hAnsiTheme="majorHAnsi" w:cstheme="majorHAnsi"/>
          <w:bCs/>
        </w:rPr>
        <w:t>numbers</w:t>
      </w:r>
      <w:r w:rsidR="001A4CC7">
        <w:rPr>
          <w:rFonts w:asciiTheme="majorHAnsi" w:hAnsiTheme="majorHAnsi" w:cstheme="majorHAnsi"/>
          <w:bCs/>
        </w:rPr>
        <w:t xml:space="preserve"> at risk </w:t>
      </w:r>
      <w:r w:rsidR="00AD1EDF">
        <w:rPr>
          <w:rFonts w:asciiTheme="majorHAnsi" w:hAnsiTheme="majorHAnsi" w:cstheme="majorHAnsi"/>
          <w:bCs/>
        </w:rPr>
        <w:t>of</w:t>
      </w:r>
      <w:r w:rsidR="0061679C">
        <w:rPr>
          <w:rFonts w:asciiTheme="majorHAnsi" w:hAnsiTheme="majorHAnsi" w:cstheme="majorHAnsi"/>
          <w:bCs/>
        </w:rPr>
        <w:t xml:space="preserve"> earlier onset frailty</w:t>
      </w:r>
      <w:r w:rsidR="007A62E3">
        <w:rPr>
          <w:rFonts w:asciiTheme="majorHAnsi" w:hAnsiTheme="majorHAnsi" w:cstheme="majorHAnsi"/>
          <w:bCs/>
        </w:rPr>
        <w:t>,</w:t>
      </w:r>
      <w:r w:rsidR="00AD1EDF">
        <w:rPr>
          <w:rFonts w:asciiTheme="majorHAnsi" w:hAnsiTheme="majorHAnsi" w:cstheme="majorHAnsi"/>
          <w:bCs/>
        </w:rPr>
        <w:t xml:space="preserve"> such as </w:t>
      </w:r>
      <w:r w:rsidR="00B5053B">
        <w:rPr>
          <w:rFonts w:asciiTheme="majorHAnsi" w:hAnsiTheme="majorHAnsi" w:cstheme="majorHAnsi"/>
          <w:bCs/>
        </w:rPr>
        <w:t>people</w:t>
      </w:r>
      <w:r w:rsidR="00AD1EDF">
        <w:rPr>
          <w:rFonts w:asciiTheme="majorHAnsi" w:hAnsiTheme="majorHAnsi" w:cstheme="majorHAnsi"/>
          <w:bCs/>
        </w:rPr>
        <w:t xml:space="preserve"> who live in deprivation and those from Pakistani and Bangladeshi communities.  On average our residents live the final 17-22 years of </w:t>
      </w:r>
      <w:r w:rsidR="00A90EDD">
        <w:rPr>
          <w:rFonts w:asciiTheme="majorHAnsi" w:hAnsiTheme="majorHAnsi" w:cstheme="majorHAnsi"/>
          <w:bCs/>
        </w:rPr>
        <w:t>life</w:t>
      </w:r>
      <w:r w:rsidR="00AD1EDF">
        <w:rPr>
          <w:rFonts w:asciiTheme="majorHAnsi" w:hAnsiTheme="majorHAnsi" w:cstheme="majorHAnsi"/>
          <w:bCs/>
        </w:rPr>
        <w:t xml:space="preserve"> in poor health, and there is a gap of up to 12 years between the healthy life expectancy of the most and least deprived.  </w:t>
      </w:r>
      <w:r w:rsidR="000F7F6C">
        <w:rPr>
          <w:rFonts w:asciiTheme="majorHAnsi" w:hAnsiTheme="majorHAnsi" w:cstheme="majorHAnsi"/>
          <w:bCs/>
        </w:rPr>
        <w:t xml:space="preserve"> </w:t>
      </w:r>
      <w:r w:rsidR="000F7F6C" w:rsidRPr="000F7F6C">
        <w:rPr>
          <w:rFonts w:asciiTheme="majorHAnsi" w:hAnsiTheme="majorHAnsi" w:cstheme="majorHAnsi"/>
          <w:b/>
          <w:bCs/>
        </w:rPr>
        <w:t xml:space="preserve">Reducing the number of years lived in poor health, particularly for the most deprived who live the longest in poor health, is where the opportunity lies for improving quality of life for our residents whilst slowing the growth in health and care costs.  </w:t>
      </w:r>
    </w:p>
    <w:p w14:paraId="121E7C10" w14:textId="77777777" w:rsidR="00A8100A" w:rsidRPr="000F7F6C" w:rsidRDefault="00A8100A" w:rsidP="00A8100A">
      <w:pPr>
        <w:spacing w:after="0" w:line="360" w:lineRule="auto"/>
        <w:rPr>
          <w:rFonts w:asciiTheme="majorHAnsi" w:hAnsiTheme="majorHAnsi" w:cstheme="majorHAnsi"/>
          <w:b/>
          <w:bCs/>
        </w:rPr>
      </w:pPr>
    </w:p>
    <w:p w14:paraId="5BEA6196" w14:textId="16C8E7C3" w:rsidR="00CF7264" w:rsidRDefault="001D1795" w:rsidP="006710A5">
      <w:pPr>
        <w:spacing w:after="0" w:line="360" w:lineRule="auto"/>
        <w:rPr>
          <w:rFonts w:asciiTheme="majorHAnsi" w:hAnsiTheme="majorHAnsi" w:cstheme="majorHAnsi"/>
          <w:bCs/>
        </w:rPr>
      </w:pPr>
      <w:r>
        <w:rPr>
          <w:rFonts w:asciiTheme="majorHAnsi" w:hAnsiTheme="majorHAnsi" w:cstheme="majorHAnsi"/>
          <w:bCs/>
        </w:rPr>
        <w:lastRenderedPageBreak/>
        <w:t>As an In</w:t>
      </w:r>
      <w:r w:rsidR="006403BB">
        <w:rPr>
          <w:rFonts w:asciiTheme="majorHAnsi" w:hAnsiTheme="majorHAnsi" w:cstheme="majorHAnsi"/>
          <w:bCs/>
        </w:rPr>
        <w:t xml:space="preserve">tegrated Care System, we have an urgent </w:t>
      </w:r>
      <w:r w:rsidR="009F4A06" w:rsidRPr="00523855">
        <w:rPr>
          <w:rFonts w:asciiTheme="majorHAnsi" w:hAnsiTheme="majorHAnsi" w:cstheme="majorHAnsi"/>
          <w:bCs/>
        </w:rPr>
        <w:t xml:space="preserve">need to </w:t>
      </w:r>
      <w:r w:rsidR="00847509" w:rsidRPr="00523855">
        <w:rPr>
          <w:rFonts w:asciiTheme="majorHAnsi" w:hAnsiTheme="majorHAnsi" w:cstheme="majorHAnsi"/>
          <w:bCs/>
        </w:rPr>
        <w:t>develop plans</w:t>
      </w:r>
      <w:r w:rsidR="00416D13">
        <w:rPr>
          <w:rFonts w:asciiTheme="majorHAnsi" w:hAnsiTheme="majorHAnsi" w:cstheme="majorHAnsi"/>
          <w:bCs/>
        </w:rPr>
        <w:t xml:space="preserve"> that </w:t>
      </w:r>
      <w:r w:rsidR="00416D13" w:rsidRPr="00523855">
        <w:rPr>
          <w:rFonts w:asciiTheme="majorHAnsi" w:hAnsiTheme="majorHAnsi" w:cstheme="majorHAnsi"/>
          <w:bCs/>
        </w:rPr>
        <w:t>reduce the impact</w:t>
      </w:r>
      <w:r w:rsidR="000F320F">
        <w:rPr>
          <w:rFonts w:asciiTheme="majorHAnsi" w:hAnsiTheme="majorHAnsi" w:cstheme="majorHAnsi"/>
          <w:bCs/>
        </w:rPr>
        <w:t xml:space="preserve"> of frailty</w:t>
      </w:r>
      <w:r w:rsidR="00416D13" w:rsidRPr="00523855">
        <w:rPr>
          <w:rFonts w:asciiTheme="majorHAnsi" w:hAnsiTheme="majorHAnsi" w:cstheme="majorHAnsi"/>
          <w:bCs/>
        </w:rPr>
        <w:t xml:space="preserve"> </w:t>
      </w:r>
      <w:r w:rsidR="000F320F">
        <w:rPr>
          <w:rFonts w:asciiTheme="majorHAnsi" w:hAnsiTheme="majorHAnsi" w:cstheme="majorHAnsi"/>
          <w:bCs/>
        </w:rPr>
        <w:t xml:space="preserve">on the </w:t>
      </w:r>
      <w:r w:rsidR="00416D13" w:rsidRPr="00523855">
        <w:rPr>
          <w:rFonts w:asciiTheme="majorHAnsi" w:hAnsiTheme="majorHAnsi" w:cstheme="majorHAnsi"/>
          <w:bCs/>
        </w:rPr>
        <w:t xml:space="preserve">quality of life </w:t>
      </w:r>
      <w:r w:rsidR="000F320F">
        <w:rPr>
          <w:rFonts w:asciiTheme="majorHAnsi" w:hAnsiTheme="majorHAnsi" w:cstheme="majorHAnsi"/>
          <w:bCs/>
        </w:rPr>
        <w:t xml:space="preserve">of our population </w:t>
      </w:r>
      <w:r w:rsidR="00416D13" w:rsidRPr="00523855">
        <w:rPr>
          <w:rFonts w:asciiTheme="majorHAnsi" w:hAnsiTheme="majorHAnsi" w:cstheme="majorHAnsi"/>
          <w:bCs/>
        </w:rPr>
        <w:t xml:space="preserve">and on the </w:t>
      </w:r>
      <w:r w:rsidR="00416D13">
        <w:rPr>
          <w:rFonts w:asciiTheme="majorHAnsi" w:hAnsiTheme="majorHAnsi" w:cstheme="majorHAnsi"/>
          <w:bCs/>
        </w:rPr>
        <w:t xml:space="preserve">demand for health and </w:t>
      </w:r>
      <w:r w:rsidR="00416D13" w:rsidRPr="00523855">
        <w:rPr>
          <w:rFonts w:asciiTheme="majorHAnsi" w:hAnsiTheme="majorHAnsi" w:cstheme="majorHAnsi"/>
          <w:bCs/>
        </w:rPr>
        <w:t>care services</w:t>
      </w:r>
      <w:r w:rsidR="000F320F">
        <w:rPr>
          <w:rFonts w:asciiTheme="majorHAnsi" w:hAnsiTheme="majorHAnsi" w:cstheme="majorHAnsi"/>
          <w:bCs/>
        </w:rPr>
        <w:t xml:space="preserve">.  This will be achieved through </w:t>
      </w:r>
      <w:r w:rsidR="00002502">
        <w:rPr>
          <w:rFonts w:asciiTheme="majorHAnsi" w:hAnsiTheme="majorHAnsi" w:cstheme="majorHAnsi"/>
          <w:bCs/>
        </w:rPr>
        <w:t xml:space="preserve">implementation of a strategy to </w:t>
      </w:r>
      <w:r w:rsidR="00847509" w:rsidRPr="00523855">
        <w:rPr>
          <w:rFonts w:asciiTheme="majorHAnsi" w:hAnsiTheme="majorHAnsi" w:cstheme="majorHAnsi"/>
          <w:bCs/>
        </w:rPr>
        <w:t>delay the onset of frailty and deliver best-practice</w:t>
      </w:r>
      <w:r w:rsidR="00416D13">
        <w:rPr>
          <w:rFonts w:asciiTheme="majorHAnsi" w:hAnsiTheme="majorHAnsi" w:cstheme="majorHAnsi"/>
          <w:bCs/>
        </w:rPr>
        <w:t xml:space="preserve"> frailty</w:t>
      </w:r>
      <w:r w:rsidR="00847509" w:rsidRPr="00523855">
        <w:rPr>
          <w:rFonts w:asciiTheme="majorHAnsi" w:hAnsiTheme="majorHAnsi" w:cstheme="majorHAnsi"/>
          <w:bCs/>
        </w:rPr>
        <w:t xml:space="preserve"> management</w:t>
      </w:r>
      <w:r w:rsidR="00D020A6" w:rsidRPr="00523855">
        <w:rPr>
          <w:rFonts w:asciiTheme="majorHAnsi" w:hAnsiTheme="majorHAnsi" w:cstheme="majorHAnsi"/>
          <w:bCs/>
        </w:rPr>
        <w:t>.</w:t>
      </w:r>
      <w:r w:rsidR="00C61949" w:rsidRPr="00523855">
        <w:rPr>
          <w:rFonts w:asciiTheme="majorHAnsi" w:hAnsiTheme="majorHAnsi" w:cstheme="majorHAnsi"/>
          <w:bCs/>
        </w:rPr>
        <w:t xml:space="preserve">  </w:t>
      </w:r>
      <w:r w:rsidR="0061679C">
        <w:rPr>
          <w:rFonts w:asciiTheme="majorHAnsi" w:hAnsiTheme="majorHAnsi" w:cstheme="majorHAnsi"/>
          <w:bCs/>
        </w:rPr>
        <w:t>The strategy encompasses our population aged over 65, and those over 50 who are at higher risk of early frailty.</w:t>
      </w:r>
    </w:p>
    <w:p w14:paraId="195256FE" w14:textId="77777777" w:rsidR="006710A5" w:rsidRPr="0061679C" w:rsidRDefault="006710A5" w:rsidP="006710A5">
      <w:pPr>
        <w:spacing w:after="0" w:line="360" w:lineRule="auto"/>
        <w:rPr>
          <w:rFonts w:asciiTheme="majorHAnsi" w:hAnsiTheme="majorHAnsi" w:cstheme="majorHAnsi"/>
          <w:b/>
          <w:sz w:val="16"/>
          <w:szCs w:val="16"/>
        </w:rPr>
      </w:pPr>
    </w:p>
    <w:p w14:paraId="2EEAF2E3" w14:textId="464B9044" w:rsidR="00946112" w:rsidRDefault="00C321BD" w:rsidP="0096242C">
      <w:pPr>
        <w:spacing w:after="0" w:line="360" w:lineRule="auto"/>
        <w:rPr>
          <w:rFonts w:asciiTheme="majorHAnsi" w:hAnsiTheme="majorHAnsi" w:cstheme="majorHAnsi"/>
          <w:b/>
          <w:sz w:val="28"/>
          <w:szCs w:val="28"/>
        </w:rPr>
      </w:pPr>
      <w:r>
        <w:rPr>
          <w:rFonts w:asciiTheme="majorHAnsi" w:hAnsiTheme="majorHAnsi" w:cstheme="majorHAnsi"/>
          <w:b/>
          <w:sz w:val="28"/>
          <w:szCs w:val="28"/>
        </w:rPr>
        <w:t xml:space="preserve">How This Links To Other Local and National Work </w:t>
      </w:r>
    </w:p>
    <w:p w14:paraId="3E4BCB9E" w14:textId="1E51C0FF" w:rsidR="00155648" w:rsidRPr="00155648" w:rsidRDefault="00B9334F" w:rsidP="0096242C">
      <w:pPr>
        <w:spacing w:after="0" w:line="360" w:lineRule="auto"/>
        <w:rPr>
          <w:rFonts w:asciiTheme="majorHAnsi" w:hAnsiTheme="majorHAnsi" w:cstheme="majorHAnsi"/>
          <w:bCs/>
        </w:rPr>
      </w:pPr>
      <w:r w:rsidRPr="00B9334F">
        <w:rPr>
          <w:rFonts w:asciiTheme="majorHAnsi" w:hAnsiTheme="majorHAnsi" w:cstheme="majorHAnsi"/>
          <w:bCs/>
        </w:rPr>
        <w:t xml:space="preserve">Figures 1 and 2 show how this </w:t>
      </w:r>
      <w:r w:rsidR="00460D72">
        <w:rPr>
          <w:rFonts w:asciiTheme="majorHAnsi" w:hAnsiTheme="majorHAnsi" w:cstheme="majorHAnsi"/>
          <w:bCs/>
        </w:rPr>
        <w:t>s</w:t>
      </w:r>
      <w:r w:rsidRPr="00B9334F">
        <w:rPr>
          <w:rFonts w:asciiTheme="majorHAnsi" w:hAnsiTheme="majorHAnsi" w:cstheme="majorHAnsi"/>
          <w:bCs/>
        </w:rPr>
        <w:t xml:space="preserve">trategy </w:t>
      </w:r>
      <w:r w:rsidR="00460D72">
        <w:rPr>
          <w:rFonts w:asciiTheme="majorHAnsi" w:hAnsiTheme="majorHAnsi" w:cstheme="majorHAnsi"/>
          <w:bCs/>
        </w:rPr>
        <w:t xml:space="preserve">to improve healthy ageing and frailty in STW </w:t>
      </w:r>
      <w:r w:rsidRPr="00B9334F">
        <w:rPr>
          <w:rFonts w:asciiTheme="majorHAnsi" w:hAnsiTheme="majorHAnsi" w:cstheme="majorHAnsi"/>
          <w:bCs/>
        </w:rPr>
        <w:t xml:space="preserve">fits with local and national priorities, and the relationship with other strategies that aim to prevent and support those with conditions related to frailty. </w:t>
      </w:r>
    </w:p>
    <w:p w14:paraId="67C7B007" w14:textId="35431104" w:rsidR="00AF5D00" w:rsidRDefault="00C04FDF" w:rsidP="00155648">
      <w:pPr>
        <w:spacing w:line="360" w:lineRule="auto"/>
        <w:rPr>
          <w:rFonts w:asciiTheme="majorHAnsi" w:hAnsiTheme="majorHAnsi" w:cstheme="majorHAnsi"/>
          <w:b/>
          <w:sz w:val="28"/>
          <w:szCs w:val="28"/>
        </w:rPr>
      </w:pPr>
      <w:r>
        <w:rPr>
          <w:rFonts w:asciiTheme="majorHAnsi" w:hAnsiTheme="majorHAnsi" w:cstheme="majorHAnsi"/>
          <w:b/>
          <w:noProof/>
        </w:rPr>
        <w:drawing>
          <wp:inline distT="0" distB="0" distL="0" distR="0" wp14:anchorId="7E950A56" wp14:editId="2832E4BF">
            <wp:extent cx="6326505" cy="2552132"/>
            <wp:effectExtent l="38100" t="0" r="55245" b="19685"/>
            <wp:docPr id="547986864"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3E85BF4D" w14:textId="4AC912C7" w:rsidR="00155648" w:rsidRDefault="00155648" w:rsidP="00155648">
      <w:pPr>
        <w:spacing w:line="360" w:lineRule="auto"/>
        <w:rPr>
          <w:rFonts w:asciiTheme="majorHAnsi" w:hAnsiTheme="majorHAnsi" w:cstheme="majorHAnsi"/>
          <w:b/>
          <w:bCs/>
        </w:rPr>
      </w:pPr>
      <w:r w:rsidRPr="00155648">
        <w:rPr>
          <w:rFonts w:asciiTheme="majorHAnsi" w:hAnsiTheme="majorHAnsi" w:cstheme="majorHAnsi"/>
          <w:b/>
        </w:rPr>
        <w:t xml:space="preserve">Figure 1. </w:t>
      </w:r>
      <w:r w:rsidRPr="00155648">
        <w:rPr>
          <w:rFonts w:asciiTheme="majorHAnsi" w:hAnsiTheme="majorHAnsi" w:cstheme="majorHAnsi"/>
          <w:b/>
          <w:bCs/>
        </w:rPr>
        <w:t xml:space="preserve">Links between this </w:t>
      </w:r>
      <w:r w:rsidR="00C321BD">
        <w:rPr>
          <w:rFonts w:asciiTheme="majorHAnsi" w:hAnsiTheme="majorHAnsi" w:cstheme="majorHAnsi"/>
          <w:b/>
          <w:bCs/>
        </w:rPr>
        <w:t>s</w:t>
      </w:r>
      <w:r w:rsidRPr="00155648">
        <w:rPr>
          <w:rFonts w:asciiTheme="majorHAnsi" w:hAnsiTheme="majorHAnsi" w:cstheme="majorHAnsi"/>
          <w:b/>
          <w:bCs/>
        </w:rPr>
        <w:t>trategy and other policies and initiatives</w:t>
      </w:r>
    </w:p>
    <w:p w14:paraId="517478F3" w14:textId="03365504" w:rsidR="00A8100A" w:rsidRDefault="00C04FDF" w:rsidP="00B4543C">
      <w:pPr>
        <w:ind w:left="-142" w:hanging="142"/>
        <w:jc w:val="center"/>
        <w:rPr>
          <w:rFonts w:asciiTheme="majorHAnsi" w:hAnsiTheme="majorHAnsi" w:cstheme="majorHAnsi"/>
          <w:b/>
          <w:sz w:val="28"/>
          <w:szCs w:val="28"/>
        </w:rPr>
      </w:pPr>
      <w:r w:rsidRPr="00C04FDF">
        <w:rPr>
          <w:rFonts w:asciiTheme="majorHAnsi" w:hAnsiTheme="majorHAnsi" w:cstheme="majorHAnsi"/>
          <w:b/>
          <w:noProof/>
          <w:sz w:val="28"/>
          <w:szCs w:val="28"/>
        </w:rPr>
        <w:drawing>
          <wp:inline distT="0" distB="0" distL="0" distR="0" wp14:anchorId="42F59E1E" wp14:editId="1967FACA">
            <wp:extent cx="4517409" cy="3365243"/>
            <wp:effectExtent l="0" t="0" r="0" b="6985"/>
            <wp:docPr id="831469120" name="Picture 1" descr="A diagram of a strateg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469120" name="Picture 1" descr="A diagram of a strategy&#10;&#10;Description automatically generated"/>
                    <pic:cNvPicPr/>
                  </pic:nvPicPr>
                  <pic:blipFill>
                    <a:blip r:embed="rId15"/>
                    <a:stretch>
                      <a:fillRect/>
                    </a:stretch>
                  </pic:blipFill>
                  <pic:spPr>
                    <a:xfrm>
                      <a:off x="0" y="0"/>
                      <a:ext cx="4650005" cy="3464020"/>
                    </a:xfrm>
                    <a:prstGeom prst="rect">
                      <a:avLst/>
                    </a:prstGeom>
                  </pic:spPr>
                </pic:pic>
              </a:graphicData>
            </a:graphic>
          </wp:inline>
        </w:drawing>
      </w:r>
    </w:p>
    <w:p w14:paraId="747F5B2A" w14:textId="45FEEE60" w:rsidR="006710A5" w:rsidRDefault="00155648">
      <w:pPr>
        <w:rPr>
          <w:rFonts w:asciiTheme="majorHAnsi" w:hAnsiTheme="majorHAnsi" w:cstheme="majorHAnsi"/>
          <w:b/>
          <w:sz w:val="28"/>
          <w:szCs w:val="28"/>
        </w:rPr>
      </w:pPr>
      <w:r w:rsidRPr="00155648">
        <w:rPr>
          <w:rFonts w:asciiTheme="majorHAnsi" w:hAnsiTheme="majorHAnsi" w:cstheme="majorHAnsi"/>
          <w:b/>
          <w:bCs/>
        </w:rPr>
        <w:t xml:space="preserve">Figure 2.  Links between this Strategy and other STW strategies </w:t>
      </w:r>
      <w:r w:rsidR="006710A5">
        <w:rPr>
          <w:rFonts w:asciiTheme="majorHAnsi" w:hAnsiTheme="majorHAnsi" w:cstheme="majorHAnsi"/>
          <w:b/>
          <w:sz w:val="28"/>
          <w:szCs w:val="28"/>
        </w:rPr>
        <w:br w:type="page"/>
      </w:r>
    </w:p>
    <w:p w14:paraId="40D968DE" w14:textId="0DAE5855" w:rsidR="00E8129D" w:rsidRPr="000C6B5B" w:rsidRDefault="00C321BD" w:rsidP="00C321BD">
      <w:pPr>
        <w:spacing w:after="0" w:line="360" w:lineRule="auto"/>
        <w:rPr>
          <w:rFonts w:asciiTheme="majorHAnsi" w:hAnsiTheme="majorHAnsi" w:cstheme="majorHAnsi"/>
          <w:b/>
          <w:sz w:val="28"/>
          <w:szCs w:val="28"/>
        </w:rPr>
      </w:pPr>
      <w:r>
        <w:rPr>
          <w:rFonts w:asciiTheme="majorHAnsi" w:hAnsiTheme="majorHAnsi" w:cstheme="majorHAnsi"/>
          <w:b/>
          <w:sz w:val="28"/>
          <w:szCs w:val="28"/>
        </w:rPr>
        <w:lastRenderedPageBreak/>
        <w:t>How Many People Are Affected?</w:t>
      </w:r>
    </w:p>
    <w:p w14:paraId="79570475" w14:textId="645D753E" w:rsidR="006710A5" w:rsidRDefault="00C80F8C" w:rsidP="006710A5">
      <w:pPr>
        <w:tabs>
          <w:tab w:val="num" w:pos="709"/>
        </w:tabs>
        <w:spacing w:after="0" w:line="360" w:lineRule="auto"/>
        <w:rPr>
          <w:rFonts w:asciiTheme="majorHAnsi" w:hAnsiTheme="majorHAnsi" w:cstheme="majorHAnsi"/>
          <w:b/>
          <w:bCs/>
        </w:rPr>
      </w:pPr>
      <w:r>
        <w:rPr>
          <w:rFonts w:asciiTheme="majorHAnsi" w:hAnsiTheme="majorHAnsi" w:cstheme="majorHAnsi"/>
        </w:rPr>
        <w:t xml:space="preserve">Shropshire, Telford and Wrekin </w:t>
      </w:r>
      <w:r w:rsidR="00E8129D">
        <w:rPr>
          <w:rFonts w:asciiTheme="majorHAnsi" w:hAnsiTheme="majorHAnsi" w:cstheme="majorHAnsi"/>
        </w:rPr>
        <w:t xml:space="preserve">is currently </w:t>
      </w:r>
      <w:r w:rsidR="00026534">
        <w:rPr>
          <w:rFonts w:asciiTheme="majorHAnsi" w:hAnsiTheme="majorHAnsi" w:cstheme="majorHAnsi"/>
        </w:rPr>
        <w:t>home to around 1</w:t>
      </w:r>
      <w:r w:rsidR="00F95507">
        <w:rPr>
          <w:rFonts w:asciiTheme="majorHAnsi" w:hAnsiTheme="majorHAnsi" w:cstheme="majorHAnsi"/>
        </w:rPr>
        <w:t>18</w:t>
      </w:r>
      <w:r w:rsidR="00026534" w:rsidRPr="00555462">
        <w:rPr>
          <w:rFonts w:asciiTheme="majorHAnsi" w:hAnsiTheme="majorHAnsi" w:cstheme="majorHAnsi"/>
        </w:rPr>
        <w:t>,000 over 65 year olds</w:t>
      </w:r>
      <w:r w:rsidR="00026534">
        <w:rPr>
          <w:rFonts w:asciiTheme="majorHAnsi" w:hAnsiTheme="majorHAnsi" w:cstheme="majorHAnsi"/>
        </w:rPr>
        <w:t xml:space="preserve">, which is </w:t>
      </w:r>
      <w:r w:rsidR="00026534" w:rsidRPr="00555462">
        <w:rPr>
          <w:rFonts w:asciiTheme="majorHAnsi" w:hAnsiTheme="majorHAnsi" w:cstheme="majorHAnsi"/>
        </w:rPr>
        <w:t>e</w:t>
      </w:r>
      <w:r w:rsidR="00026534">
        <w:rPr>
          <w:rFonts w:asciiTheme="majorHAnsi" w:hAnsiTheme="majorHAnsi" w:cstheme="majorHAnsi"/>
        </w:rPr>
        <w:t xml:space="preserve">xpected to swell </w:t>
      </w:r>
      <w:r w:rsidR="00F95507">
        <w:rPr>
          <w:rFonts w:asciiTheme="majorHAnsi" w:hAnsiTheme="majorHAnsi" w:cstheme="majorHAnsi"/>
        </w:rPr>
        <w:t xml:space="preserve">to </w:t>
      </w:r>
      <w:r w:rsidR="00084D79">
        <w:rPr>
          <w:rFonts w:asciiTheme="majorHAnsi" w:hAnsiTheme="majorHAnsi" w:cstheme="majorHAnsi"/>
        </w:rPr>
        <w:t xml:space="preserve">around </w:t>
      </w:r>
      <w:r w:rsidR="00F95507">
        <w:rPr>
          <w:rFonts w:asciiTheme="majorHAnsi" w:hAnsiTheme="majorHAnsi" w:cstheme="majorHAnsi"/>
        </w:rPr>
        <w:t>1</w:t>
      </w:r>
      <w:r w:rsidR="009D3A19">
        <w:rPr>
          <w:rFonts w:asciiTheme="majorHAnsi" w:hAnsiTheme="majorHAnsi" w:cstheme="majorHAnsi"/>
        </w:rPr>
        <w:t>62,000</w:t>
      </w:r>
      <w:r w:rsidR="00026534" w:rsidRPr="00555462">
        <w:rPr>
          <w:rFonts w:asciiTheme="majorHAnsi" w:hAnsiTheme="majorHAnsi" w:cstheme="majorHAnsi"/>
        </w:rPr>
        <w:t xml:space="preserve"> by 203</w:t>
      </w:r>
      <w:r w:rsidR="009D3A19">
        <w:rPr>
          <w:rFonts w:asciiTheme="majorHAnsi" w:hAnsiTheme="majorHAnsi" w:cstheme="majorHAnsi"/>
        </w:rPr>
        <w:t>5</w:t>
      </w:r>
      <w:r w:rsidR="00026534" w:rsidRPr="00555462">
        <w:rPr>
          <w:rFonts w:asciiTheme="majorHAnsi" w:hAnsiTheme="majorHAnsi" w:cstheme="majorHAnsi"/>
        </w:rPr>
        <w:t xml:space="preserve">.  </w:t>
      </w:r>
      <w:r w:rsidR="001800F4">
        <w:rPr>
          <w:rFonts w:asciiTheme="majorHAnsi" w:hAnsiTheme="majorHAnsi" w:cstheme="majorHAnsi"/>
        </w:rPr>
        <w:t xml:space="preserve"> </w:t>
      </w:r>
      <w:r w:rsidR="00B4543C">
        <w:rPr>
          <w:rFonts w:asciiTheme="majorHAnsi" w:hAnsiTheme="majorHAnsi" w:cstheme="majorHAnsi"/>
        </w:rPr>
        <w:t>We e</w:t>
      </w:r>
      <w:r w:rsidR="000F7F6C">
        <w:rPr>
          <w:rFonts w:asciiTheme="majorHAnsi" w:hAnsiTheme="majorHAnsi" w:cstheme="majorHAnsi"/>
        </w:rPr>
        <w:t>stimate there are around 45</w:t>
      </w:r>
      <w:r w:rsidR="00B9334F">
        <w:rPr>
          <w:rFonts w:asciiTheme="majorHAnsi" w:hAnsiTheme="majorHAnsi" w:cstheme="majorHAnsi"/>
        </w:rPr>
        <w:t>,000</w:t>
      </w:r>
      <w:r w:rsidR="000F7F6C">
        <w:rPr>
          <w:rFonts w:asciiTheme="majorHAnsi" w:hAnsiTheme="majorHAnsi" w:cstheme="majorHAnsi"/>
        </w:rPr>
        <w:t xml:space="preserve"> </w:t>
      </w:r>
      <w:r w:rsidR="00692408">
        <w:rPr>
          <w:rFonts w:asciiTheme="majorHAnsi" w:hAnsiTheme="majorHAnsi" w:cstheme="majorHAnsi"/>
        </w:rPr>
        <w:t xml:space="preserve">people </w:t>
      </w:r>
      <w:r w:rsidR="00B4543C">
        <w:rPr>
          <w:rFonts w:asciiTheme="majorHAnsi" w:hAnsiTheme="majorHAnsi" w:cstheme="majorHAnsi"/>
        </w:rPr>
        <w:t xml:space="preserve">aged </w:t>
      </w:r>
      <w:r w:rsidR="000F7F6C">
        <w:rPr>
          <w:rFonts w:asciiTheme="majorHAnsi" w:hAnsiTheme="majorHAnsi" w:cstheme="majorHAnsi"/>
        </w:rPr>
        <w:t>over 65 living with mild frailty, 19</w:t>
      </w:r>
      <w:r w:rsidR="00B9334F">
        <w:rPr>
          <w:rFonts w:asciiTheme="majorHAnsi" w:hAnsiTheme="majorHAnsi" w:cstheme="majorHAnsi"/>
        </w:rPr>
        <w:t>,000</w:t>
      </w:r>
      <w:r w:rsidR="000F7F6C">
        <w:rPr>
          <w:rFonts w:asciiTheme="majorHAnsi" w:hAnsiTheme="majorHAnsi" w:cstheme="majorHAnsi"/>
        </w:rPr>
        <w:t xml:space="preserve"> moderately frail and 6</w:t>
      </w:r>
      <w:r w:rsidR="00B9334F">
        <w:rPr>
          <w:rFonts w:asciiTheme="majorHAnsi" w:hAnsiTheme="majorHAnsi" w:cstheme="majorHAnsi"/>
        </w:rPr>
        <w:t xml:space="preserve">,000 </w:t>
      </w:r>
      <w:r w:rsidR="000F7F6C">
        <w:rPr>
          <w:rFonts w:asciiTheme="majorHAnsi" w:hAnsiTheme="majorHAnsi" w:cstheme="majorHAnsi"/>
        </w:rPr>
        <w:t>with severe frailty.</w:t>
      </w:r>
      <w:r w:rsidR="00B9334F">
        <w:rPr>
          <w:rFonts w:asciiTheme="majorHAnsi" w:hAnsiTheme="majorHAnsi" w:cstheme="majorHAnsi"/>
        </w:rPr>
        <w:t xml:space="preserve">  More detail</w:t>
      </w:r>
      <w:r w:rsidR="00C56FEC">
        <w:rPr>
          <w:rFonts w:asciiTheme="majorHAnsi" w:hAnsiTheme="majorHAnsi" w:cstheme="majorHAnsi"/>
        </w:rPr>
        <w:t>s</w:t>
      </w:r>
      <w:r w:rsidR="00B9334F">
        <w:rPr>
          <w:rFonts w:asciiTheme="majorHAnsi" w:hAnsiTheme="majorHAnsi" w:cstheme="majorHAnsi"/>
        </w:rPr>
        <w:t xml:space="preserve"> about</w:t>
      </w:r>
      <w:r w:rsidR="00692408">
        <w:rPr>
          <w:rFonts w:asciiTheme="majorHAnsi" w:hAnsiTheme="majorHAnsi" w:cstheme="majorHAnsi"/>
        </w:rPr>
        <w:t xml:space="preserve"> the local</w:t>
      </w:r>
      <w:r w:rsidR="00026534" w:rsidRPr="00555462">
        <w:rPr>
          <w:rFonts w:asciiTheme="majorHAnsi" w:hAnsiTheme="majorHAnsi" w:cstheme="majorHAnsi"/>
        </w:rPr>
        <w:t xml:space="preserve"> population </w:t>
      </w:r>
      <w:r w:rsidR="00D87041">
        <w:rPr>
          <w:rFonts w:asciiTheme="majorHAnsi" w:hAnsiTheme="majorHAnsi" w:cstheme="majorHAnsi"/>
        </w:rPr>
        <w:t xml:space="preserve">and estimated numbers </w:t>
      </w:r>
      <w:r w:rsidR="00B4543C">
        <w:rPr>
          <w:rFonts w:asciiTheme="majorHAnsi" w:hAnsiTheme="majorHAnsi" w:cstheme="majorHAnsi"/>
        </w:rPr>
        <w:t>living with</w:t>
      </w:r>
      <w:r w:rsidR="00D87041">
        <w:rPr>
          <w:rFonts w:asciiTheme="majorHAnsi" w:hAnsiTheme="majorHAnsi" w:cstheme="majorHAnsi"/>
        </w:rPr>
        <w:t xml:space="preserve"> frailty</w:t>
      </w:r>
      <w:r w:rsidR="0061679C">
        <w:rPr>
          <w:rFonts w:asciiTheme="majorHAnsi" w:hAnsiTheme="majorHAnsi" w:cstheme="majorHAnsi"/>
        </w:rPr>
        <w:t>,</w:t>
      </w:r>
      <w:r w:rsidR="00C56FEC">
        <w:rPr>
          <w:rFonts w:asciiTheme="majorHAnsi" w:hAnsiTheme="majorHAnsi" w:cstheme="majorHAnsi"/>
        </w:rPr>
        <w:t>are</w:t>
      </w:r>
      <w:r w:rsidR="00B9334F">
        <w:rPr>
          <w:rFonts w:asciiTheme="majorHAnsi" w:hAnsiTheme="majorHAnsi" w:cstheme="majorHAnsi"/>
        </w:rPr>
        <w:t xml:space="preserve"> </w:t>
      </w:r>
      <w:r w:rsidR="00C56FEC">
        <w:rPr>
          <w:rFonts w:asciiTheme="majorHAnsi" w:hAnsiTheme="majorHAnsi" w:cstheme="majorHAnsi"/>
        </w:rPr>
        <w:t>provided i</w:t>
      </w:r>
      <w:r w:rsidR="00B9334F">
        <w:rPr>
          <w:rFonts w:asciiTheme="majorHAnsi" w:hAnsiTheme="majorHAnsi" w:cstheme="majorHAnsi"/>
        </w:rPr>
        <w:t xml:space="preserve">n the </w:t>
      </w:r>
      <w:r w:rsidR="000F7F6C">
        <w:rPr>
          <w:rFonts w:asciiTheme="majorHAnsi" w:hAnsiTheme="majorHAnsi" w:cstheme="majorHAnsi"/>
        </w:rPr>
        <w:t xml:space="preserve">accompanying Supporting Information. </w:t>
      </w:r>
    </w:p>
    <w:p w14:paraId="7BF2064B" w14:textId="77777777" w:rsidR="006710A5" w:rsidRDefault="006710A5" w:rsidP="006710A5">
      <w:pPr>
        <w:tabs>
          <w:tab w:val="num" w:pos="709"/>
        </w:tabs>
        <w:spacing w:after="0" w:line="360" w:lineRule="auto"/>
        <w:rPr>
          <w:rFonts w:asciiTheme="majorHAnsi" w:hAnsiTheme="majorHAnsi" w:cstheme="majorHAnsi"/>
          <w:b/>
          <w:bCs/>
        </w:rPr>
      </w:pPr>
    </w:p>
    <w:p w14:paraId="2E18777B" w14:textId="4EC5B5BC" w:rsidR="00C321BD" w:rsidRPr="006710A5" w:rsidRDefault="006710A5" w:rsidP="006710A5">
      <w:pPr>
        <w:tabs>
          <w:tab w:val="num" w:pos="709"/>
        </w:tabs>
        <w:spacing w:after="0" w:line="240" w:lineRule="auto"/>
        <w:rPr>
          <w:rFonts w:asciiTheme="majorHAnsi" w:hAnsiTheme="majorHAnsi" w:cstheme="majorHAnsi"/>
          <w:b/>
          <w:bCs/>
        </w:rPr>
      </w:pPr>
      <w:r>
        <w:rPr>
          <w:rFonts w:asciiTheme="majorHAnsi" w:hAnsiTheme="majorHAnsi" w:cstheme="majorHAnsi"/>
          <w:b/>
          <w:bCs/>
          <w:sz w:val="28"/>
          <w:szCs w:val="28"/>
        </w:rPr>
        <w:t>Wh</w:t>
      </w:r>
      <w:r w:rsidR="00C321BD">
        <w:rPr>
          <w:rFonts w:asciiTheme="majorHAnsi" w:hAnsiTheme="majorHAnsi" w:cstheme="majorHAnsi"/>
          <w:b/>
          <w:bCs/>
          <w:sz w:val="28"/>
          <w:szCs w:val="28"/>
        </w:rPr>
        <w:t>at We Will Do and How We Will Do It</w:t>
      </w:r>
    </w:p>
    <w:p w14:paraId="7BAC78A8" w14:textId="77777777" w:rsidR="00C321BD" w:rsidRPr="00155648" w:rsidRDefault="00C321BD" w:rsidP="006710A5">
      <w:pPr>
        <w:spacing w:after="0" w:line="240" w:lineRule="auto"/>
        <w:rPr>
          <w:rFonts w:asciiTheme="majorHAnsi" w:hAnsiTheme="majorHAnsi" w:cstheme="majorHAnsi"/>
          <w:b/>
          <w:bCs/>
          <w:sz w:val="12"/>
          <w:szCs w:val="12"/>
        </w:rPr>
      </w:pPr>
    </w:p>
    <w:p w14:paraId="229DB01B" w14:textId="0EA9AB58" w:rsidR="00C321BD" w:rsidRDefault="00C321BD" w:rsidP="006710A5">
      <w:pPr>
        <w:spacing w:after="0" w:line="360" w:lineRule="auto"/>
        <w:rPr>
          <w:rFonts w:asciiTheme="majorHAnsi" w:hAnsiTheme="majorHAnsi" w:cstheme="majorHAnsi"/>
        </w:rPr>
      </w:pPr>
      <w:r>
        <w:rPr>
          <w:rFonts w:asciiTheme="majorHAnsi" w:hAnsiTheme="majorHAnsi" w:cstheme="majorHAnsi"/>
        </w:rPr>
        <w:t xml:space="preserve">This three-year system-wide strategy comprises five pillars that reflect the trajectory of frailty: educate, prevent, identify, manage and care.  The ambitions relating to each pillar are set out in Figure 3, and our objectives are described in Text Box 1.  ‘SMART’ objectives are specified in the accompanying Supporting Information document.  The interventions to achieve the objectives are </w:t>
      </w:r>
      <w:r w:rsidR="00C56FEC">
        <w:rPr>
          <w:rFonts w:asciiTheme="majorHAnsi" w:hAnsiTheme="majorHAnsi" w:cstheme="majorHAnsi"/>
        </w:rPr>
        <w:t xml:space="preserve">set out </w:t>
      </w:r>
      <w:r>
        <w:rPr>
          <w:rFonts w:asciiTheme="majorHAnsi" w:hAnsiTheme="majorHAnsi" w:cstheme="majorHAnsi"/>
        </w:rPr>
        <w:t xml:space="preserve">in Text Box 2 and the evidence base is </w:t>
      </w:r>
      <w:r w:rsidR="00C56FEC">
        <w:rPr>
          <w:rFonts w:asciiTheme="majorHAnsi" w:hAnsiTheme="majorHAnsi" w:cstheme="majorHAnsi"/>
        </w:rPr>
        <w:t>described</w:t>
      </w:r>
      <w:r>
        <w:rPr>
          <w:rFonts w:asciiTheme="majorHAnsi" w:hAnsiTheme="majorHAnsi" w:cstheme="majorHAnsi"/>
        </w:rPr>
        <w:t xml:space="preserve"> in Supporting Information.  </w:t>
      </w:r>
    </w:p>
    <w:p w14:paraId="5887EFB0" w14:textId="77777777" w:rsidR="00C321BD" w:rsidRDefault="00C321BD" w:rsidP="00D4623C">
      <w:pPr>
        <w:rPr>
          <w:rFonts w:asciiTheme="majorHAnsi" w:hAnsiTheme="majorHAnsi" w:cstheme="majorHAnsi"/>
          <w:b/>
          <w:bCs/>
        </w:rPr>
      </w:pPr>
    </w:p>
    <w:p w14:paraId="29F8640C" w14:textId="1679C504" w:rsidR="00D4623C" w:rsidRPr="00155648" w:rsidRDefault="00D4623C" w:rsidP="00D4623C">
      <w:pPr>
        <w:rPr>
          <w:rFonts w:asciiTheme="majorHAnsi" w:hAnsiTheme="majorHAnsi" w:cstheme="majorHAnsi"/>
        </w:rPr>
      </w:pPr>
      <w:r w:rsidRPr="00155648">
        <w:rPr>
          <w:rFonts w:asciiTheme="majorHAnsi" w:hAnsiTheme="majorHAnsi" w:cstheme="majorHAnsi"/>
          <w:b/>
          <w:bCs/>
        </w:rPr>
        <w:t xml:space="preserve">Text Box 1. </w:t>
      </w:r>
      <w:r w:rsidR="002E0B46">
        <w:rPr>
          <w:rFonts w:asciiTheme="majorHAnsi" w:hAnsiTheme="majorHAnsi" w:cstheme="majorHAnsi"/>
          <w:b/>
          <w:bCs/>
        </w:rPr>
        <w:t>What We Will Do</w:t>
      </w:r>
      <w:r w:rsidRPr="00155648">
        <w:rPr>
          <w:rFonts w:asciiTheme="majorHAnsi" w:hAnsiTheme="majorHAnsi" w:cstheme="majorHAnsi"/>
          <w:b/>
          <w:bCs/>
        </w:rPr>
        <w:tab/>
      </w:r>
    </w:p>
    <w:tbl>
      <w:tblPr>
        <w:tblStyle w:val="ListTable5Dark-Accent1"/>
        <w:tblW w:w="9609" w:type="dxa"/>
        <w:tblLook w:val="0280" w:firstRow="0" w:lastRow="0" w:firstColumn="1" w:lastColumn="0" w:noHBand="1" w:noVBand="0"/>
      </w:tblPr>
      <w:tblGrid>
        <w:gridCol w:w="9609"/>
      </w:tblGrid>
      <w:tr w:rsidR="00D4623C" w:rsidRPr="00CC6109" w14:paraId="7F532C7C" w14:textId="77777777" w:rsidTr="00573CB5">
        <w:trPr>
          <w:trHeight w:val="717"/>
        </w:trPr>
        <w:tc>
          <w:tcPr>
            <w:cnfStyle w:val="001000000000" w:firstRow="0" w:lastRow="0" w:firstColumn="1" w:lastColumn="0" w:oddVBand="0" w:evenVBand="0" w:oddHBand="0" w:evenHBand="0" w:firstRowFirstColumn="0" w:firstRowLastColumn="0" w:lastRowFirstColumn="0" w:lastRowLastColumn="0"/>
            <w:tcW w:w="9609" w:type="dxa"/>
            <w:hideMark/>
          </w:tcPr>
          <w:p w14:paraId="3922E25F" w14:textId="77777777" w:rsidR="00D4623C" w:rsidRPr="00D4623C" w:rsidRDefault="00D4623C">
            <w:pPr>
              <w:rPr>
                <w:rFonts w:asciiTheme="majorHAnsi" w:hAnsiTheme="majorHAnsi" w:cstheme="majorHAnsi"/>
                <w:b w:val="0"/>
                <w:bCs w:val="0"/>
                <w:sz w:val="8"/>
                <w:szCs w:val="8"/>
              </w:rPr>
            </w:pPr>
          </w:p>
          <w:p w14:paraId="7564CC1C" w14:textId="77777777" w:rsidR="00C56FEC" w:rsidRPr="00C56FEC" w:rsidRDefault="00C56FEC">
            <w:pPr>
              <w:rPr>
                <w:rFonts w:asciiTheme="majorHAnsi" w:hAnsiTheme="majorHAnsi" w:cstheme="majorHAnsi"/>
                <w:b w:val="0"/>
                <w:bCs w:val="0"/>
                <w:sz w:val="8"/>
                <w:szCs w:val="8"/>
              </w:rPr>
            </w:pPr>
          </w:p>
          <w:p w14:paraId="14708033" w14:textId="6F69910E" w:rsidR="00573CB5" w:rsidRDefault="00D4623C">
            <w:pPr>
              <w:rPr>
                <w:rFonts w:asciiTheme="majorHAnsi" w:hAnsiTheme="majorHAnsi" w:cstheme="majorHAnsi"/>
                <w:b w:val="0"/>
                <w:bCs w:val="0"/>
                <w:sz w:val="28"/>
                <w:szCs w:val="28"/>
              </w:rPr>
            </w:pPr>
            <w:r>
              <w:rPr>
                <w:rFonts w:asciiTheme="majorHAnsi" w:hAnsiTheme="majorHAnsi" w:cstheme="majorHAnsi"/>
                <w:sz w:val="28"/>
                <w:szCs w:val="28"/>
              </w:rPr>
              <w:t>1.</w:t>
            </w:r>
            <w:r w:rsidR="00573CB5">
              <w:rPr>
                <w:rFonts w:asciiTheme="majorHAnsi" w:hAnsiTheme="majorHAnsi" w:cstheme="majorHAnsi"/>
                <w:sz w:val="28"/>
                <w:szCs w:val="28"/>
              </w:rPr>
              <w:t xml:space="preserve"> </w:t>
            </w:r>
            <w:r w:rsidR="00A543E4">
              <w:rPr>
                <w:rFonts w:asciiTheme="majorHAnsi" w:hAnsiTheme="majorHAnsi" w:cstheme="majorHAnsi"/>
                <w:sz w:val="28"/>
                <w:szCs w:val="28"/>
              </w:rPr>
              <w:t>Improve</w:t>
            </w:r>
            <w:r w:rsidR="00573CB5">
              <w:rPr>
                <w:rFonts w:asciiTheme="majorHAnsi" w:hAnsiTheme="majorHAnsi" w:cstheme="majorHAnsi"/>
                <w:sz w:val="28"/>
                <w:szCs w:val="28"/>
              </w:rPr>
              <w:t xml:space="preserve"> understanding about healthy ageing and frailty</w:t>
            </w:r>
          </w:p>
          <w:p w14:paraId="39E44F1B" w14:textId="77777777" w:rsidR="00573CB5" w:rsidRDefault="00573CB5">
            <w:pPr>
              <w:rPr>
                <w:rFonts w:asciiTheme="majorHAnsi" w:hAnsiTheme="majorHAnsi" w:cstheme="majorHAnsi"/>
                <w:sz w:val="20"/>
                <w:szCs w:val="20"/>
              </w:rPr>
            </w:pPr>
            <w:r w:rsidRPr="00573CB5">
              <w:rPr>
                <w:rFonts w:asciiTheme="majorHAnsi" w:hAnsiTheme="majorHAnsi" w:cstheme="majorHAnsi"/>
                <w:b w:val="0"/>
                <w:bCs w:val="0"/>
                <w:sz w:val="20"/>
                <w:szCs w:val="20"/>
              </w:rPr>
              <w:t>Increase public and workforce understanding of the impact of frailty and how to prevent, delay, identify and manage it</w:t>
            </w:r>
          </w:p>
          <w:p w14:paraId="2D6E9E31" w14:textId="786E489B" w:rsidR="00573CB5" w:rsidRPr="00573CB5" w:rsidRDefault="00573CB5">
            <w:pPr>
              <w:rPr>
                <w:rFonts w:asciiTheme="majorHAnsi" w:hAnsiTheme="majorHAnsi" w:cstheme="majorHAnsi"/>
                <w:b w:val="0"/>
                <w:bCs w:val="0"/>
                <w:sz w:val="20"/>
                <w:szCs w:val="20"/>
              </w:rPr>
            </w:pPr>
            <w:r w:rsidRPr="00573CB5">
              <w:rPr>
                <w:rFonts w:asciiTheme="majorHAnsi" w:hAnsiTheme="majorHAnsi" w:cstheme="majorHAnsi"/>
                <w:b w:val="0"/>
                <w:bCs w:val="0"/>
                <w:sz w:val="20"/>
                <w:szCs w:val="20"/>
              </w:rPr>
              <w:t xml:space="preserve"> </w:t>
            </w:r>
          </w:p>
          <w:p w14:paraId="124CA4EB" w14:textId="77777777" w:rsidR="00573CB5" w:rsidRPr="00573CB5" w:rsidRDefault="00573CB5">
            <w:pPr>
              <w:rPr>
                <w:rFonts w:asciiTheme="majorHAnsi" w:hAnsiTheme="majorHAnsi" w:cstheme="majorHAnsi"/>
                <w:b w:val="0"/>
                <w:bCs w:val="0"/>
                <w:sz w:val="8"/>
                <w:szCs w:val="8"/>
              </w:rPr>
            </w:pPr>
          </w:p>
          <w:p w14:paraId="0A533154" w14:textId="4827683F" w:rsidR="00D4623C" w:rsidRPr="00CC6109" w:rsidRDefault="00573CB5">
            <w:pPr>
              <w:rPr>
                <w:rFonts w:asciiTheme="majorHAnsi" w:hAnsiTheme="majorHAnsi" w:cstheme="majorHAnsi"/>
                <w:sz w:val="28"/>
                <w:szCs w:val="28"/>
              </w:rPr>
            </w:pPr>
            <w:r>
              <w:rPr>
                <w:rFonts w:asciiTheme="majorHAnsi" w:hAnsiTheme="majorHAnsi" w:cstheme="majorHAnsi"/>
                <w:sz w:val="28"/>
                <w:szCs w:val="28"/>
              </w:rPr>
              <w:t xml:space="preserve">2. </w:t>
            </w:r>
            <w:r w:rsidR="00D4623C" w:rsidRPr="00F443D7">
              <w:rPr>
                <w:rFonts w:asciiTheme="majorHAnsi" w:hAnsiTheme="majorHAnsi" w:cstheme="majorHAnsi"/>
                <w:sz w:val="28"/>
                <w:szCs w:val="28"/>
              </w:rPr>
              <w:t>Delay and level-up the onset of frailty</w:t>
            </w:r>
          </w:p>
          <w:p w14:paraId="34981CB0" w14:textId="77777777" w:rsidR="00D4623C" w:rsidRPr="00D4623C" w:rsidRDefault="00D4623C">
            <w:pPr>
              <w:rPr>
                <w:rFonts w:asciiTheme="majorHAnsi" w:hAnsiTheme="majorHAnsi" w:cstheme="majorHAnsi"/>
                <w:sz w:val="8"/>
                <w:szCs w:val="8"/>
              </w:rPr>
            </w:pPr>
          </w:p>
          <w:p w14:paraId="4A91561E" w14:textId="41F862C0" w:rsidR="00D4623C" w:rsidRPr="00573CB5" w:rsidRDefault="00D4623C" w:rsidP="00C4523F">
            <w:pPr>
              <w:rPr>
                <w:rFonts w:asciiTheme="majorHAnsi" w:hAnsiTheme="majorHAnsi" w:cstheme="majorHAnsi"/>
                <w:sz w:val="20"/>
                <w:szCs w:val="20"/>
              </w:rPr>
            </w:pPr>
            <w:r w:rsidRPr="00573CB5">
              <w:rPr>
                <w:rFonts w:asciiTheme="majorHAnsi" w:hAnsiTheme="majorHAnsi" w:cstheme="majorHAnsi"/>
                <w:b w:val="0"/>
                <w:bCs w:val="0"/>
                <w:sz w:val="20"/>
                <w:szCs w:val="20"/>
              </w:rPr>
              <w:t>Increase the proportion who are pre-frail or mildly frail</w:t>
            </w:r>
            <w:r w:rsidR="006710A5" w:rsidRPr="00573CB5">
              <w:rPr>
                <w:rFonts w:asciiTheme="majorHAnsi" w:hAnsiTheme="majorHAnsi" w:cstheme="majorHAnsi"/>
                <w:b w:val="0"/>
                <w:bCs w:val="0"/>
                <w:sz w:val="20"/>
                <w:szCs w:val="20"/>
              </w:rPr>
              <w:t xml:space="preserve">, </w:t>
            </w:r>
            <w:r w:rsidRPr="00573CB5">
              <w:rPr>
                <w:rFonts w:asciiTheme="majorHAnsi" w:hAnsiTheme="majorHAnsi" w:cstheme="majorHAnsi"/>
                <w:b w:val="0"/>
                <w:bCs w:val="0"/>
                <w:sz w:val="20"/>
                <w:szCs w:val="20"/>
              </w:rPr>
              <w:t>compared to moderately or severely frail</w:t>
            </w:r>
          </w:p>
          <w:p w14:paraId="44A18FFE" w14:textId="77777777" w:rsidR="00D4623C" w:rsidRPr="00573CB5" w:rsidRDefault="00D4623C" w:rsidP="00C4523F">
            <w:pPr>
              <w:rPr>
                <w:rFonts w:asciiTheme="majorHAnsi" w:hAnsiTheme="majorHAnsi" w:cstheme="majorHAnsi"/>
                <w:sz w:val="8"/>
                <w:szCs w:val="8"/>
              </w:rPr>
            </w:pPr>
          </w:p>
          <w:p w14:paraId="051DEDFA" w14:textId="77777777" w:rsidR="00D4623C" w:rsidRPr="00573CB5" w:rsidRDefault="00D4623C" w:rsidP="00C4523F">
            <w:pPr>
              <w:rPr>
                <w:rFonts w:asciiTheme="majorHAnsi" w:hAnsiTheme="majorHAnsi" w:cstheme="majorHAnsi"/>
                <w:b w:val="0"/>
                <w:bCs w:val="0"/>
                <w:sz w:val="20"/>
                <w:szCs w:val="20"/>
              </w:rPr>
            </w:pPr>
            <w:r w:rsidRPr="00573CB5">
              <w:rPr>
                <w:rFonts w:asciiTheme="majorHAnsi" w:hAnsiTheme="majorHAnsi" w:cstheme="majorHAnsi"/>
                <w:b w:val="0"/>
                <w:bCs w:val="0"/>
                <w:sz w:val="20"/>
                <w:szCs w:val="20"/>
              </w:rPr>
              <w:t xml:space="preserve">Reduce disparities in the deprivation and ethnic profile of frail adults, both in the proportion who are frail and the median age of frailty onset </w:t>
            </w:r>
          </w:p>
          <w:p w14:paraId="683F361B" w14:textId="77777777" w:rsidR="00D4623C" w:rsidRPr="00D6479C" w:rsidRDefault="00D4623C">
            <w:pPr>
              <w:rPr>
                <w:rFonts w:asciiTheme="majorHAnsi" w:hAnsiTheme="majorHAnsi" w:cstheme="majorHAnsi"/>
                <w:b w:val="0"/>
                <w:bCs w:val="0"/>
              </w:rPr>
            </w:pPr>
          </w:p>
          <w:p w14:paraId="5C0BA30B" w14:textId="6DE0FF72" w:rsidR="00D4623C" w:rsidRPr="00C4417D" w:rsidRDefault="00573CB5">
            <w:pPr>
              <w:rPr>
                <w:rFonts w:asciiTheme="majorHAnsi" w:hAnsiTheme="majorHAnsi" w:cstheme="majorHAnsi"/>
                <w:sz w:val="28"/>
                <w:szCs w:val="28"/>
              </w:rPr>
            </w:pPr>
            <w:r>
              <w:rPr>
                <w:rFonts w:asciiTheme="majorHAnsi" w:hAnsiTheme="majorHAnsi" w:cstheme="majorHAnsi"/>
                <w:sz w:val="28"/>
                <w:szCs w:val="28"/>
              </w:rPr>
              <w:t>3</w:t>
            </w:r>
            <w:r w:rsidR="00D4623C" w:rsidRPr="00F443D7">
              <w:rPr>
                <w:rFonts w:asciiTheme="majorHAnsi" w:hAnsiTheme="majorHAnsi" w:cstheme="majorHAnsi"/>
                <w:sz w:val="28"/>
                <w:szCs w:val="28"/>
              </w:rPr>
              <w:t>. Slow down and level-up the progression of frailty</w:t>
            </w:r>
          </w:p>
          <w:p w14:paraId="457AB2CA" w14:textId="77777777" w:rsidR="00D4623C" w:rsidRPr="00D4623C" w:rsidRDefault="00D4623C">
            <w:pPr>
              <w:rPr>
                <w:rFonts w:asciiTheme="majorHAnsi" w:hAnsiTheme="majorHAnsi" w:cstheme="majorHAnsi"/>
                <w:sz w:val="8"/>
                <w:szCs w:val="8"/>
              </w:rPr>
            </w:pPr>
          </w:p>
          <w:p w14:paraId="0F29C867" w14:textId="77777777" w:rsidR="00D4623C" w:rsidRPr="00573CB5" w:rsidRDefault="00D4623C">
            <w:pPr>
              <w:rPr>
                <w:rFonts w:asciiTheme="majorHAnsi" w:hAnsiTheme="majorHAnsi" w:cstheme="majorHAnsi"/>
                <w:sz w:val="20"/>
                <w:szCs w:val="20"/>
              </w:rPr>
            </w:pPr>
            <w:r w:rsidRPr="00573CB5">
              <w:rPr>
                <w:rFonts w:asciiTheme="majorHAnsi" w:hAnsiTheme="majorHAnsi" w:cstheme="majorHAnsi"/>
                <w:b w:val="0"/>
                <w:bCs w:val="0"/>
                <w:sz w:val="20"/>
                <w:szCs w:val="20"/>
              </w:rPr>
              <w:t>Increase the proportion of moderately frail adults with a frailty assessment score and co-produced holistic care plan recorded in their shared-care record</w:t>
            </w:r>
          </w:p>
          <w:p w14:paraId="50F9C2CD" w14:textId="77777777" w:rsidR="00D4623C" w:rsidRPr="00573CB5" w:rsidRDefault="00D4623C">
            <w:pPr>
              <w:rPr>
                <w:rFonts w:asciiTheme="majorHAnsi" w:hAnsiTheme="majorHAnsi" w:cstheme="majorHAnsi"/>
                <w:b w:val="0"/>
                <w:bCs w:val="0"/>
                <w:sz w:val="8"/>
                <w:szCs w:val="8"/>
              </w:rPr>
            </w:pPr>
          </w:p>
          <w:p w14:paraId="18B312D5" w14:textId="77777777" w:rsidR="00D4623C" w:rsidRPr="00573CB5" w:rsidRDefault="00D4623C">
            <w:pPr>
              <w:rPr>
                <w:rFonts w:asciiTheme="majorHAnsi" w:hAnsiTheme="majorHAnsi" w:cstheme="majorHAnsi"/>
                <w:sz w:val="20"/>
                <w:szCs w:val="20"/>
              </w:rPr>
            </w:pPr>
            <w:r w:rsidRPr="00573CB5">
              <w:rPr>
                <w:rFonts w:asciiTheme="majorHAnsi" w:hAnsiTheme="majorHAnsi" w:cstheme="majorHAnsi"/>
                <w:b w:val="0"/>
                <w:bCs w:val="0"/>
                <w:sz w:val="20"/>
                <w:szCs w:val="20"/>
              </w:rPr>
              <w:t xml:space="preserve">Reduce the proportion of moderately frail adults progressing to severe frailty </w:t>
            </w:r>
          </w:p>
          <w:p w14:paraId="28E63F7C" w14:textId="77777777" w:rsidR="00D4623C" w:rsidRPr="00573CB5" w:rsidRDefault="00D4623C">
            <w:pPr>
              <w:rPr>
                <w:rFonts w:asciiTheme="majorHAnsi" w:hAnsiTheme="majorHAnsi" w:cstheme="majorHAnsi"/>
                <w:b w:val="0"/>
                <w:bCs w:val="0"/>
                <w:sz w:val="8"/>
                <w:szCs w:val="8"/>
              </w:rPr>
            </w:pPr>
          </w:p>
          <w:p w14:paraId="241E442D" w14:textId="77777777" w:rsidR="00D4623C" w:rsidRPr="00573CB5" w:rsidRDefault="00D4623C">
            <w:pPr>
              <w:rPr>
                <w:rFonts w:asciiTheme="majorHAnsi" w:hAnsiTheme="majorHAnsi" w:cstheme="majorHAnsi"/>
                <w:sz w:val="20"/>
                <w:szCs w:val="20"/>
              </w:rPr>
            </w:pPr>
            <w:r w:rsidRPr="00573CB5">
              <w:rPr>
                <w:rFonts w:asciiTheme="majorHAnsi" w:hAnsiTheme="majorHAnsi" w:cstheme="majorHAnsi"/>
                <w:b w:val="0"/>
                <w:bCs w:val="0"/>
                <w:sz w:val="20"/>
                <w:szCs w:val="20"/>
              </w:rPr>
              <w:t>Reduce disparities in the deprivation and ethnic profile of frail adults, both in the proportion who are moderately frail and the median age of moderate and severe frailty onset; reduce disparities in the recording of a clinical frailty assessment score and care plan</w:t>
            </w:r>
          </w:p>
          <w:p w14:paraId="382A3ACE" w14:textId="77777777" w:rsidR="00D4623C" w:rsidRPr="00573CB5" w:rsidRDefault="00D4623C">
            <w:pPr>
              <w:rPr>
                <w:rFonts w:asciiTheme="majorHAnsi" w:hAnsiTheme="majorHAnsi" w:cstheme="majorHAnsi"/>
                <w:b w:val="0"/>
                <w:bCs w:val="0"/>
                <w:sz w:val="8"/>
                <w:szCs w:val="8"/>
              </w:rPr>
            </w:pPr>
          </w:p>
          <w:p w14:paraId="471EBD1D" w14:textId="0D5AEB53" w:rsidR="00D4623C" w:rsidRPr="00C4417D" w:rsidRDefault="00573CB5">
            <w:pPr>
              <w:rPr>
                <w:rFonts w:asciiTheme="majorHAnsi" w:hAnsiTheme="majorHAnsi" w:cstheme="majorHAnsi"/>
                <w:b w:val="0"/>
                <w:bCs w:val="0"/>
                <w:sz w:val="28"/>
                <w:szCs w:val="28"/>
              </w:rPr>
            </w:pPr>
            <w:r>
              <w:rPr>
                <w:rFonts w:asciiTheme="majorHAnsi" w:hAnsiTheme="majorHAnsi" w:cstheme="majorHAnsi"/>
                <w:sz w:val="28"/>
                <w:szCs w:val="28"/>
              </w:rPr>
              <w:t>4</w:t>
            </w:r>
            <w:r w:rsidR="00D4623C" w:rsidRPr="00330904">
              <w:rPr>
                <w:rFonts w:asciiTheme="majorHAnsi" w:hAnsiTheme="majorHAnsi" w:cstheme="majorHAnsi"/>
                <w:sz w:val="28"/>
                <w:szCs w:val="28"/>
              </w:rPr>
              <w:t xml:space="preserve">. Improve and level-up quality of life for people </w:t>
            </w:r>
            <w:r w:rsidR="00D4623C">
              <w:rPr>
                <w:rFonts w:asciiTheme="majorHAnsi" w:hAnsiTheme="majorHAnsi" w:cstheme="majorHAnsi"/>
                <w:sz w:val="28"/>
                <w:szCs w:val="28"/>
              </w:rPr>
              <w:t>with</w:t>
            </w:r>
            <w:r w:rsidR="00D4623C" w:rsidRPr="00330904">
              <w:rPr>
                <w:rFonts w:asciiTheme="majorHAnsi" w:hAnsiTheme="majorHAnsi" w:cstheme="majorHAnsi"/>
                <w:sz w:val="28"/>
                <w:szCs w:val="28"/>
              </w:rPr>
              <w:t xml:space="preserve"> moderate </w:t>
            </w:r>
            <w:r w:rsidR="00D4623C">
              <w:rPr>
                <w:rFonts w:asciiTheme="majorHAnsi" w:hAnsiTheme="majorHAnsi" w:cstheme="majorHAnsi"/>
                <w:sz w:val="28"/>
                <w:szCs w:val="28"/>
              </w:rPr>
              <w:t>&amp;</w:t>
            </w:r>
            <w:r w:rsidR="00D4623C" w:rsidRPr="00330904">
              <w:rPr>
                <w:rFonts w:asciiTheme="majorHAnsi" w:hAnsiTheme="majorHAnsi" w:cstheme="majorHAnsi"/>
                <w:sz w:val="28"/>
                <w:szCs w:val="28"/>
              </w:rPr>
              <w:t xml:space="preserve"> severe frailty</w:t>
            </w:r>
          </w:p>
          <w:p w14:paraId="0149D7EE" w14:textId="77777777" w:rsidR="00D4623C" w:rsidRPr="00D4623C" w:rsidRDefault="00D4623C">
            <w:pPr>
              <w:rPr>
                <w:rFonts w:asciiTheme="majorHAnsi" w:hAnsiTheme="majorHAnsi" w:cstheme="majorHAnsi"/>
                <w:sz w:val="8"/>
                <w:szCs w:val="8"/>
              </w:rPr>
            </w:pPr>
          </w:p>
          <w:p w14:paraId="486B26A6" w14:textId="18660187" w:rsidR="00D4623C" w:rsidRPr="00573CB5" w:rsidRDefault="00D4623C">
            <w:pPr>
              <w:rPr>
                <w:rFonts w:asciiTheme="majorHAnsi" w:hAnsiTheme="majorHAnsi" w:cstheme="majorHAnsi"/>
                <w:b w:val="0"/>
                <w:bCs w:val="0"/>
                <w:sz w:val="20"/>
                <w:szCs w:val="20"/>
              </w:rPr>
            </w:pPr>
            <w:r w:rsidRPr="00573CB5">
              <w:rPr>
                <w:rFonts w:asciiTheme="majorHAnsi" w:hAnsiTheme="majorHAnsi" w:cstheme="majorHAnsi"/>
                <w:b w:val="0"/>
                <w:bCs w:val="0"/>
                <w:sz w:val="20"/>
                <w:szCs w:val="20"/>
              </w:rPr>
              <w:t xml:space="preserve">Increase the quality of life of those with moderate or severe frailty </w:t>
            </w:r>
            <w:r w:rsidR="006710A5" w:rsidRPr="00573CB5">
              <w:rPr>
                <w:rFonts w:asciiTheme="majorHAnsi" w:hAnsiTheme="majorHAnsi" w:cstheme="majorHAnsi"/>
                <w:b w:val="0"/>
                <w:bCs w:val="0"/>
                <w:sz w:val="20"/>
                <w:szCs w:val="20"/>
              </w:rPr>
              <w:t>and r</w:t>
            </w:r>
            <w:r w:rsidRPr="00573CB5">
              <w:rPr>
                <w:rFonts w:asciiTheme="majorHAnsi" w:hAnsiTheme="majorHAnsi" w:cstheme="majorHAnsi"/>
                <w:b w:val="0"/>
                <w:bCs w:val="0"/>
                <w:sz w:val="20"/>
                <w:szCs w:val="20"/>
              </w:rPr>
              <w:t xml:space="preserve">educe </w:t>
            </w:r>
            <w:r w:rsidR="008F7D16" w:rsidRPr="00573CB5">
              <w:rPr>
                <w:rFonts w:asciiTheme="majorHAnsi" w:hAnsiTheme="majorHAnsi" w:cstheme="majorHAnsi"/>
                <w:b w:val="0"/>
                <w:bCs w:val="0"/>
                <w:sz w:val="20"/>
                <w:szCs w:val="20"/>
              </w:rPr>
              <w:t>disparities</w:t>
            </w:r>
          </w:p>
          <w:p w14:paraId="51B6913F" w14:textId="77777777" w:rsidR="00D4623C" w:rsidRPr="00573CB5" w:rsidRDefault="00D4623C">
            <w:pPr>
              <w:rPr>
                <w:rFonts w:asciiTheme="majorHAnsi" w:hAnsiTheme="majorHAnsi" w:cstheme="majorHAnsi"/>
                <w:b w:val="0"/>
                <w:bCs w:val="0"/>
                <w:sz w:val="8"/>
                <w:szCs w:val="8"/>
              </w:rPr>
            </w:pPr>
          </w:p>
          <w:p w14:paraId="63EF0570" w14:textId="1EF2B0D1" w:rsidR="00D4623C" w:rsidRPr="00D27E74" w:rsidRDefault="00573CB5">
            <w:pPr>
              <w:rPr>
                <w:rFonts w:asciiTheme="majorHAnsi" w:hAnsiTheme="majorHAnsi" w:cstheme="majorHAnsi"/>
                <w:sz w:val="28"/>
                <w:szCs w:val="28"/>
              </w:rPr>
            </w:pPr>
            <w:r>
              <w:rPr>
                <w:rFonts w:asciiTheme="majorHAnsi" w:hAnsiTheme="majorHAnsi" w:cstheme="majorHAnsi"/>
                <w:sz w:val="28"/>
                <w:szCs w:val="28"/>
              </w:rPr>
              <w:t>5</w:t>
            </w:r>
            <w:r w:rsidR="00D4623C" w:rsidRPr="00330904">
              <w:rPr>
                <w:rFonts w:asciiTheme="majorHAnsi" w:hAnsiTheme="majorHAnsi" w:cstheme="majorHAnsi"/>
                <w:sz w:val="28"/>
                <w:szCs w:val="28"/>
              </w:rPr>
              <w:t>. Improve and level-up care for people</w:t>
            </w:r>
            <w:r w:rsidR="00D4623C">
              <w:rPr>
                <w:rFonts w:asciiTheme="majorHAnsi" w:hAnsiTheme="majorHAnsi" w:cstheme="majorHAnsi"/>
                <w:sz w:val="28"/>
                <w:szCs w:val="28"/>
              </w:rPr>
              <w:t xml:space="preserve"> with</w:t>
            </w:r>
            <w:r w:rsidR="00D4623C" w:rsidRPr="00330904">
              <w:rPr>
                <w:rFonts w:asciiTheme="majorHAnsi" w:hAnsiTheme="majorHAnsi" w:cstheme="majorHAnsi"/>
                <w:sz w:val="28"/>
                <w:szCs w:val="28"/>
              </w:rPr>
              <w:t xml:space="preserve"> severe frailty and their carers</w:t>
            </w:r>
          </w:p>
          <w:p w14:paraId="63B07493" w14:textId="77777777" w:rsidR="00D4623C" w:rsidRPr="00D4623C" w:rsidRDefault="00D4623C">
            <w:pPr>
              <w:rPr>
                <w:rFonts w:asciiTheme="majorHAnsi" w:hAnsiTheme="majorHAnsi" w:cstheme="majorHAnsi"/>
                <w:sz w:val="8"/>
                <w:szCs w:val="8"/>
              </w:rPr>
            </w:pPr>
          </w:p>
          <w:p w14:paraId="037511E9" w14:textId="77777777" w:rsidR="00D4623C" w:rsidRPr="00573CB5" w:rsidRDefault="00D4623C">
            <w:pPr>
              <w:rPr>
                <w:rFonts w:asciiTheme="majorHAnsi" w:hAnsiTheme="majorHAnsi" w:cstheme="majorHAnsi"/>
                <w:b w:val="0"/>
                <w:bCs w:val="0"/>
                <w:sz w:val="20"/>
                <w:szCs w:val="20"/>
              </w:rPr>
            </w:pPr>
            <w:r w:rsidRPr="00573CB5">
              <w:rPr>
                <w:rFonts w:asciiTheme="majorHAnsi" w:hAnsiTheme="majorHAnsi" w:cstheme="majorHAnsi"/>
                <w:b w:val="0"/>
                <w:bCs w:val="0"/>
                <w:sz w:val="20"/>
                <w:szCs w:val="20"/>
              </w:rPr>
              <w:t>Increase the proportion of severely frail adults with a CGA, care plan, case co-ordinator, advance care plan, ReSPECT plan, preferred place of death recorded, and death occurring in their preferred setting</w:t>
            </w:r>
          </w:p>
          <w:p w14:paraId="3D3CB757" w14:textId="77777777" w:rsidR="00D4623C" w:rsidRPr="00573CB5" w:rsidRDefault="00D4623C">
            <w:pPr>
              <w:rPr>
                <w:rFonts w:asciiTheme="majorHAnsi" w:hAnsiTheme="majorHAnsi" w:cstheme="majorHAnsi"/>
                <w:b w:val="0"/>
                <w:bCs w:val="0"/>
                <w:sz w:val="8"/>
                <w:szCs w:val="8"/>
              </w:rPr>
            </w:pPr>
          </w:p>
          <w:p w14:paraId="5D525813" w14:textId="77777777" w:rsidR="00D4623C" w:rsidRPr="00573CB5" w:rsidRDefault="00D4623C">
            <w:pPr>
              <w:rPr>
                <w:rFonts w:asciiTheme="majorHAnsi" w:hAnsiTheme="majorHAnsi" w:cstheme="majorHAnsi"/>
                <w:sz w:val="20"/>
                <w:szCs w:val="20"/>
              </w:rPr>
            </w:pPr>
            <w:r w:rsidRPr="00573CB5">
              <w:rPr>
                <w:rFonts w:asciiTheme="majorHAnsi" w:hAnsiTheme="majorHAnsi" w:cstheme="majorHAnsi"/>
                <w:b w:val="0"/>
                <w:bCs w:val="0"/>
                <w:sz w:val="20"/>
                <w:szCs w:val="20"/>
              </w:rPr>
              <w:t>Reduce ethnic and deprivation disparities in the above</w:t>
            </w:r>
          </w:p>
          <w:p w14:paraId="3B09B814" w14:textId="77777777" w:rsidR="00D4623C" w:rsidRPr="00573CB5" w:rsidRDefault="00D4623C">
            <w:pPr>
              <w:rPr>
                <w:rFonts w:asciiTheme="majorHAnsi" w:hAnsiTheme="majorHAnsi" w:cstheme="majorHAnsi"/>
                <w:sz w:val="8"/>
                <w:szCs w:val="8"/>
              </w:rPr>
            </w:pPr>
          </w:p>
          <w:p w14:paraId="7EE7B5AC" w14:textId="50450930" w:rsidR="00D4623C" w:rsidRPr="00C4417D" w:rsidRDefault="00573CB5">
            <w:pPr>
              <w:rPr>
                <w:rFonts w:asciiTheme="majorHAnsi" w:hAnsiTheme="majorHAnsi" w:cstheme="majorHAnsi"/>
                <w:sz w:val="28"/>
                <w:szCs w:val="28"/>
              </w:rPr>
            </w:pPr>
            <w:r>
              <w:rPr>
                <w:rFonts w:asciiTheme="majorHAnsi" w:hAnsiTheme="majorHAnsi" w:cstheme="majorHAnsi"/>
                <w:sz w:val="28"/>
                <w:szCs w:val="28"/>
              </w:rPr>
              <w:t>6</w:t>
            </w:r>
            <w:r w:rsidR="00D4623C" w:rsidRPr="00330904">
              <w:rPr>
                <w:rFonts w:asciiTheme="majorHAnsi" w:hAnsiTheme="majorHAnsi" w:cstheme="majorHAnsi"/>
                <w:sz w:val="28"/>
                <w:szCs w:val="28"/>
              </w:rPr>
              <w:t>. Reduce and level up need for unplanned care among those with frailty</w:t>
            </w:r>
          </w:p>
          <w:p w14:paraId="1A318298" w14:textId="77777777" w:rsidR="00D4623C" w:rsidRPr="00D4623C" w:rsidRDefault="00D4623C">
            <w:pPr>
              <w:rPr>
                <w:rFonts w:asciiTheme="majorHAnsi" w:hAnsiTheme="majorHAnsi" w:cstheme="majorHAnsi"/>
                <w:sz w:val="8"/>
                <w:szCs w:val="8"/>
              </w:rPr>
            </w:pPr>
          </w:p>
          <w:p w14:paraId="786BC57A" w14:textId="77777777" w:rsidR="00D4623C" w:rsidRPr="00573CB5" w:rsidRDefault="00D4623C">
            <w:pPr>
              <w:rPr>
                <w:rFonts w:asciiTheme="majorHAnsi" w:hAnsiTheme="majorHAnsi" w:cstheme="majorHAnsi"/>
                <w:sz w:val="20"/>
                <w:szCs w:val="20"/>
              </w:rPr>
            </w:pPr>
            <w:r w:rsidRPr="00573CB5">
              <w:rPr>
                <w:rFonts w:asciiTheme="majorHAnsi" w:hAnsiTheme="majorHAnsi" w:cstheme="majorHAnsi"/>
                <w:b w:val="0"/>
                <w:bCs w:val="0"/>
                <w:sz w:val="20"/>
                <w:szCs w:val="20"/>
              </w:rPr>
              <w:t xml:space="preserve">Reduce the number of people living with frailty requiring unplanned care </w:t>
            </w:r>
          </w:p>
          <w:p w14:paraId="5983C55E" w14:textId="77777777" w:rsidR="00D4623C" w:rsidRPr="00573CB5" w:rsidRDefault="00D4623C">
            <w:pPr>
              <w:rPr>
                <w:rFonts w:asciiTheme="majorHAnsi" w:hAnsiTheme="majorHAnsi" w:cstheme="majorHAnsi"/>
                <w:sz w:val="8"/>
                <w:szCs w:val="8"/>
              </w:rPr>
            </w:pPr>
          </w:p>
          <w:p w14:paraId="2F377E4B" w14:textId="77777777" w:rsidR="00D4623C" w:rsidRPr="00573CB5" w:rsidRDefault="00D4623C">
            <w:pPr>
              <w:rPr>
                <w:rFonts w:asciiTheme="majorHAnsi" w:hAnsiTheme="majorHAnsi" w:cstheme="majorHAnsi"/>
                <w:b w:val="0"/>
                <w:bCs w:val="0"/>
                <w:sz w:val="20"/>
                <w:szCs w:val="20"/>
              </w:rPr>
            </w:pPr>
            <w:r w:rsidRPr="00573CB5">
              <w:rPr>
                <w:rFonts w:asciiTheme="majorHAnsi" w:hAnsiTheme="majorHAnsi" w:cstheme="majorHAnsi"/>
                <w:b w:val="0"/>
                <w:bCs w:val="0"/>
                <w:sz w:val="20"/>
                <w:szCs w:val="20"/>
              </w:rPr>
              <w:t>Reduce the proportion of people living with frailty admitted to hospital for unplanned care</w:t>
            </w:r>
          </w:p>
          <w:p w14:paraId="7EF4C03C" w14:textId="77777777" w:rsidR="00D4623C" w:rsidRPr="00573CB5" w:rsidRDefault="00D4623C">
            <w:pPr>
              <w:rPr>
                <w:rFonts w:asciiTheme="majorHAnsi" w:hAnsiTheme="majorHAnsi" w:cstheme="majorHAnsi"/>
                <w:sz w:val="8"/>
                <w:szCs w:val="8"/>
              </w:rPr>
            </w:pPr>
          </w:p>
          <w:p w14:paraId="10D44CC2" w14:textId="77777777" w:rsidR="00D4623C" w:rsidRPr="00573CB5" w:rsidRDefault="00D4623C">
            <w:pPr>
              <w:rPr>
                <w:rFonts w:asciiTheme="majorHAnsi" w:hAnsiTheme="majorHAnsi" w:cstheme="majorHAnsi"/>
                <w:sz w:val="20"/>
                <w:szCs w:val="20"/>
              </w:rPr>
            </w:pPr>
            <w:r w:rsidRPr="00573CB5">
              <w:rPr>
                <w:rFonts w:asciiTheme="majorHAnsi" w:hAnsiTheme="majorHAnsi" w:cstheme="majorHAnsi"/>
                <w:b w:val="0"/>
                <w:bCs w:val="0"/>
                <w:sz w:val="20"/>
                <w:szCs w:val="20"/>
              </w:rPr>
              <w:t>Reduce disparities by deprivation and ethnicity in unplanned care among those with frailty</w:t>
            </w:r>
          </w:p>
          <w:p w14:paraId="6CEF713D" w14:textId="77777777" w:rsidR="00C4523F" w:rsidRPr="00C4523F" w:rsidRDefault="00C4523F">
            <w:pPr>
              <w:rPr>
                <w:rFonts w:asciiTheme="majorHAnsi" w:hAnsiTheme="majorHAnsi" w:cstheme="majorHAnsi"/>
                <w:sz w:val="8"/>
                <w:szCs w:val="8"/>
              </w:rPr>
            </w:pPr>
          </w:p>
          <w:p w14:paraId="690EFED5" w14:textId="007F2D43" w:rsidR="008F7D16" w:rsidRPr="008F7D16" w:rsidRDefault="008F7D16">
            <w:pPr>
              <w:rPr>
                <w:rFonts w:asciiTheme="majorHAnsi" w:hAnsiTheme="majorHAnsi" w:cstheme="majorHAnsi"/>
                <w:sz w:val="8"/>
                <w:szCs w:val="8"/>
              </w:rPr>
            </w:pPr>
          </w:p>
        </w:tc>
      </w:tr>
    </w:tbl>
    <w:p w14:paraId="0EB46032" w14:textId="1DC03059" w:rsidR="00155648" w:rsidRDefault="00952091" w:rsidP="00155648">
      <w:pPr>
        <w:spacing w:after="0" w:line="360" w:lineRule="auto"/>
      </w:pPr>
      <w:r>
        <w:t xml:space="preserve">By </w:t>
      </w:r>
      <w:r w:rsidR="00155648">
        <w:t>the end of the 1</w:t>
      </w:r>
      <w:r w:rsidR="00155648" w:rsidRPr="001B1ECC">
        <w:rPr>
          <w:vertAlign w:val="superscript"/>
        </w:rPr>
        <w:t>st</w:t>
      </w:r>
      <w:r w:rsidR="00155648">
        <w:t xml:space="preserve"> year of strategy implementation, infrastructure will be in place to support making population-level proactive care offers: digital infrastructure, Information Governance, mechanisms to identify eligible residents, outcomes framework</w:t>
      </w:r>
      <w:r>
        <w:t>s</w:t>
      </w:r>
      <w:r w:rsidR="00155648">
        <w:t xml:space="preserve">, care pathways and workforce in place to enable the provision of safe and excellent care. </w:t>
      </w:r>
    </w:p>
    <w:p w14:paraId="26664FCB" w14:textId="77777777" w:rsidR="00FA6631" w:rsidRDefault="00FA6631" w:rsidP="00155648">
      <w:pPr>
        <w:spacing w:after="0" w:line="360" w:lineRule="auto"/>
      </w:pPr>
    </w:p>
    <w:p w14:paraId="303D01C0" w14:textId="6767A137" w:rsidR="00A8100A" w:rsidRDefault="00A8100A" w:rsidP="00C56FEC">
      <w:pPr>
        <w:spacing w:after="0" w:line="360" w:lineRule="auto"/>
      </w:pPr>
      <w:r>
        <w:t>By the end of the 2</w:t>
      </w:r>
      <w:r w:rsidRPr="00DC662C">
        <w:rPr>
          <w:vertAlign w:val="superscript"/>
        </w:rPr>
        <w:t>nd</w:t>
      </w:r>
      <w:r>
        <w:t xml:space="preserve"> year, proactive care pathways will be operational and evaluation underway; awareness and educational interventions will be delivered with a plan to scale-up to full coverage of target audiences.  By the end of the 3</w:t>
      </w:r>
      <w:r w:rsidRPr="00DC662C">
        <w:rPr>
          <w:vertAlign w:val="superscript"/>
        </w:rPr>
        <w:t>rd</w:t>
      </w:r>
      <w:r>
        <w:rPr>
          <w:vertAlign w:val="superscript"/>
        </w:rPr>
        <w:t xml:space="preserve"> </w:t>
      </w:r>
      <w:r>
        <w:t>year, evaluation will be published that describes the outcomes of all interventions to educate, prevent, identify, manage and care, including qualitative assessment of experiences of patients, carers and staff.</w:t>
      </w:r>
    </w:p>
    <w:p w14:paraId="30633ACA" w14:textId="77777777" w:rsidR="00C56FEC" w:rsidRPr="00155648" w:rsidRDefault="00C56FEC" w:rsidP="00C56FEC">
      <w:pPr>
        <w:spacing w:after="0" w:line="360" w:lineRule="auto"/>
        <w:rPr>
          <w:rFonts w:asciiTheme="majorHAnsi" w:hAnsiTheme="majorHAnsi" w:cstheme="majorHAnsi"/>
          <w:b/>
          <w:bCs/>
          <w:sz w:val="28"/>
          <w:szCs w:val="28"/>
        </w:rPr>
      </w:pPr>
    </w:p>
    <w:p w14:paraId="2F78FFAA" w14:textId="2C08B7D6" w:rsidR="00A8100A" w:rsidRPr="00155648" w:rsidRDefault="00A8100A" w:rsidP="00155648">
      <w:pPr>
        <w:spacing w:line="360" w:lineRule="auto"/>
        <w:rPr>
          <w:rFonts w:asciiTheme="majorHAnsi" w:hAnsiTheme="majorHAnsi" w:cstheme="majorHAnsi"/>
          <w:b/>
          <w:bCs/>
          <w:sz w:val="18"/>
          <w:szCs w:val="18"/>
        </w:rPr>
      </w:pPr>
      <w:r w:rsidRPr="00155648">
        <w:rPr>
          <w:rFonts w:asciiTheme="majorHAnsi" w:hAnsiTheme="majorHAnsi" w:cstheme="majorHAnsi"/>
          <w:b/>
          <w:bCs/>
        </w:rPr>
        <w:t xml:space="preserve">Text Box 2.  How We Will </w:t>
      </w:r>
      <w:r w:rsidR="00C321BD">
        <w:rPr>
          <w:rFonts w:asciiTheme="majorHAnsi" w:hAnsiTheme="majorHAnsi" w:cstheme="majorHAnsi"/>
          <w:b/>
          <w:bCs/>
        </w:rPr>
        <w:t>Do It</w:t>
      </w:r>
    </w:p>
    <w:tbl>
      <w:tblPr>
        <w:tblStyle w:val="ListTable5Dark-Accent2"/>
        <w:tblW w:w="9639" w:type="dxa"/>
        <w:tblInd w:w="-30" w:type="dxa"/>
        <w:tblLook w:val="0280" w:firstRow="0" w:lastRow="0" w:firstColumn="1" w:lastColumn="0" w:noHBand="1" w:noVBand="0"/>
      </w:tblPr>
      <w:tblGrid>
        <w:gridCol w:w="9639"/>
      </w:tblGrid>
      <w:tr w:rsidR="00A8100A" w:rsidRPr="00CC6109" w14:paraId="6541AC78" w14:textId="77777777" w:rsidTr="00A8100A">
        <w:trPr>
          <w:trHeight w:val="4597"/>
        </w:trPr>
        <w:tc>
          <w:tcPr>
            <w:cnfStyle w:val="001000000000" w:firstRow="0" w:lastRow="0" w:firstColumn="1" w:lastColumn="0" w:oddVBand="0" w:evenVBand="0" w:oddHBand="0" w:evenHBand="0" w:firstRowFirstColumn="0" w:firstRowLastColumn="0" w:lastRowFirstColumn="0" w:lastRowLastColumn="0"/>
            <w:tcW w:w="9639" w:type="dxa"/>
            <w:hideMark/>
          </w:tcPr>
          <w:p w14:paraId="767FBBD9" w14:textId="77777777" w:rsidR="00C56FEC" w:rsidRPr="00C56FEC" w:rsidRDefault="00C56FEC" w:rsidP="00155648">
            <w:pPr>
              <w:spacing w:line="360" w:lineRule="auto"/>
              <w:contextualSpacing/>
              <w:rPr>
                <w:rFonts w:asciiTheme="majorHAnsi" w:hAnsiTheme="majorHAnsi" w:cstheme="majorHAnsi"/>
                <w:b w:val="0"/>
                <w:bCs w:val="0"/>
                <w:sz w:val="8"/>
                <w:szCs w:val="8"/>
              </w:rPr>
            </w:pPr>
          </w:p>
          <w:p w14:paraId="5C2BB894" w14:textId="1732E017" w:rsidR="00A8100A" w:rsidRPr="00C56FEC" w:rsidRDefault="00A8100A" w:rsidP="00A543E4">
            <w:pPr>
              <w:contextualSpacing/>
              <w:rPr>
                <w:rFonts w:asciiTheme="majorHAnsi" w:hAnsiTheme="majorHAnsi" w:cstheme="majorHAnsi"/>
                <w:sz w:val="28"/>
                <w:szCs w:val="28"/>
              </w:rPr>
            </w:pPr>
            <w:r w:rsidRPr="00C56FEC">
              <w:rPr>
                <w:rFonts w:asciiTheme="majorHAnsi" w:hAnsiTheme="majorHAnsi" w:cstheme="majorHAnsi"/>
                <w:sz w:val="28"/>
                <w:szCs w:val="28"/>
              </w:rPr>
              <w:t>Interventions t</w:t>
            </w:r>
            <w:r w:rsidR="00C56FEC">
              <w:rPr>
                <w:rFonts w:asciiTheme="majorHAnsi" w:hAnsiTheme="majorHAnsi" w:cstheme="majorHAnsi"/>
                <w:sz w:val="28"/>
                <w:szCs w:val="28"/>
              </w:rPr>
              <w:t>o</w:t>
            </w:r>
            <w:r w:rsidRPr="00C56FEC">
              <w:rPr>
                <w:rFonts w:asciiTheme="majorHAnsi" w:hAnsiTheme="majorHAnsi" w:cstheme="majorHAnsi"/>
                <w:sz w:val="28"/>
                <w:szCs w:val="28"/>
              </w:rPr>
              <w:t xml:space="preserve"> prevent and manage frailty</w:t>
            </w:r>
          </w:p>
          <w:p w14:paraId="187A5ED1" w14:textId="77777777" w:rsidR="00A8100A" w:rsidRPr="00A543E4" w:rsidRDefault="00A8100A" w:rsidP="00A543E4">
            <w:pPr>
              <w:contextualSpacing/>
              <w:rPr>
                <w:rFonts w:asciiTheme="majorHAnsi" w:hAnsiTheme="majorHAnsi" w:cstheme="majorHAnsi"/>
                <w:b w:val="0"/>
                <w:bCs w:val="0"/>
              </w:rPr>
            </w:pPr>
          </w:p>
          <w:p w14:paraId="00540ECE" w14:textId="178A7FCF" w:rsidR="00573CB5" w:rsidRPr="00A543E4" w:rsidRDefault="00573CB5" w:rsidP="00A543E4">
            <w:pPr>
              <w:contextualSpacing/>
              <w:rPr>
                <w:rFonts w:asciiTheme="majorHAnsi" w:hAnsiTheme="majorHAnsi"/>
                <w:b w:val="0"/>
                <w:bCs w:val="0"/>
              </w:rPr>
            </w:pPr>
            <w:r w:rsidRPr="00A543E4">
              <w:rPr>
                <w:rFonts w:asciiTheme="majorHAnsi" w:hAnsiTheme="majorHAnsi"/>
                <w:b w:val="0"/>
                <w:bCs w:val="0"/>
              </w:rPr>
              <w:t>1. We will develop a comprehensive</w:t>
            </w:r>
            <w:r w:rsidR="00A543E4" w:rsidRPr="00A543E4">
              <w:rPr>
                <w:rFonts w:asciiTheme="majorHAnsi" w:hAnsiTheme="majorHAnsi"/>
                <w:b w:val="0"/>
                <w:bCs w:val="0"/>
              </w:rPr>
              <w:t xml:space="preserve"> healthy ageing and f</w:t>
            </w:r>
            <w:r w:rsidRPr="00A543E4">
              <w:rPr>
                <w:rFonts w:asciiTheme="majorHAnsi" w:hAnsiTheme="majorHAnsi"/>
                <w:b w:val="0"/>
                <w:bCs w:val="0"/>
              </w:rPr>
              <w:t>railty</w:t>
            </w:r>
            <w:r w:rsidR="00A543E4" w:rsidRPr="00A543E4">
              <w:rPr>
                <w:rFonts w:asciiTheme="majorHAnsi" w:hAnsiTheme="majorHAnsi"/>
                <w:b w:val="0"/>
                <w:bCs w:val="0"/>
              </w:rPr>
              <w:t xml:space="preserve"> </w:t>
            </w:r>
            <w:r w:rsidRPr="00A543E4">
              <w:rPr>
                <w:rFonts w:asciiTheme="majorHAnsi" w:hAnsiTheme="majorHAnsi"/>
                <w:b w:val="0"/>
                <w:bCs w:val="0"/>
              </w:rPr>
              <w:t>education and training programme</w:t>
            </w:r>
            <w:r w:rsidR="00A543E4" w:rsidRPr="00A543E4">
              <w:rPr>
                <w:rFonts w:asciiTheme="majorHAnsi" w:hAnsiTheme="majorHAnsi"/>
                <w:b w:val="0"/>
                <w:bCs w:val="0"/>
              </w:rPr>
              <w:t xml:space="preserve"> for people in healthcare and other public-facing jobs, and raise awareness amongst the general public</w:t>
            </w:r>
          </w:p>
          <w:p w14:paraId="3F52FB19" w14:textId="77777777" w:rsidR="00A543E4" w:rsidRPr="00A543E4" w:rsidRDefault="00A543E4" w:rsidP="00A543E4">
            <w:pPr>
              <w:contextualSpacing/>
              <w:rPr>
                <w:rFonts w:asciiTheme="majorHAnsi" w:hAnsiTheme="majorHAnsi" w:cstheme="majorHAnsi"/>
                <w:b w:val="0"/>
                <w:bCs w:val="0"/>
              </w:rPr>
            </w:pPr>
          </w:p>
          <w:p w14:paraId="4FF4D939" w14:textId="3755EFFB" w:rsidR="00A8100A" w:rsidRPr="00A543E4" w:rsidRDefault="00A543E4" w:rsidP="00A543E4">
            <w:pPr>
              <w:contextualSpacing/>
              <w:rPr>
                <w:rFonts w:asciiTheme="majorHAnsi" w:hAnsiTheme="majorHAnsi" w:cstheme="majorHAnsi"/>
                <w:b w:val="0"/>
                <w:bCs w:val="0"/>
              </w:rPr>
            </w:pPr>
            <w:r>
              <w:rPr>
                <w:rFonts w:asciiTheme="majorHAnsi" w:hAnsiTheme="majorHAnsi" w:cstheme="majorHAnsi"/>
                <w:b w:val="0"/>
                <w:bCs w:val="0"/>
              </w:rPr>
              <w:t>2</w:t>
            </w:r>
            <w:r w:rsidR="00A8100A" w:rsidRPr="00A543E4">
              <w:rPr>
                <w:rFonts w:asciiTheme="majorHAnsi" w:hAnsiTheme="majorHAnsi" w:cstheme="majorHAnsi"/>
                <w:b w:val="0"/>
                <w:bCs w:val="0"/>
              </w:rPr>
              <w:t>. Provide a universal prevention offer including a proactive invite to all pre-frail and mildly frail adults over 50 to access an online health education resource; signpost to local statutory and VCSE offers for supported self-management of frailty risk factors. For those identified as at risk of health inequalities also make a proactive offer of health coaching and clinical frailty assessment. Repeat the offer at 5 yearly intervals</w:t>
            </w:r>
          </w:p>
          <w:p w14:paraId="7F3E4FF2" w14:textId="77777777" w:rsidR="00A8100A" w:rsidRPr="00A543E4" w:rsidRDefault="00A8100A" w:rsidP="00A543E4">
            <w:pPr>
              <w:contextualSpacing/>
              <w:rPr>
                <w:rFonts w:asciiTheme="majorHAnsi" w:hAnsiTheme="majorHAnsi" w:cstheme="majorHAnsi"/>
                <w:b w:val="0"/>
                <w:bCs w:val="0"/>
              </w:rPr>
            </w:pPr>
          </w:p>
          <w:p w14:paraId="148DFADE" w14:textId="76E44A78" w:rsidR="00A8100A" w:rsidRPr="00A543E4" w:rsidRDefault="00A543E4" w:rsidP="00A543E4">
            <w:pPr>
              <w:contextualSpacing/>
              <w:rPr>
                <w:rFonts w:asciiTheme="majorHAnsi" w:hAnsiTheme="majorHAnsi" w:cstheme="majorHAnsi"/>
                <w:b w:val="0"/>
                <w:bCs w:val="0"/>
              </w:rPr>
            </w:pPr>
            <w:r>
              <w:rPr>
                <w:rFonts w:asciiTheme="majorHAnsi" w:hAnsiTheme="majorHAnsi" w:cstheme="majorHAnsi"/>
                <w:b w:val="0"/>
                <w:bCs w:val="0"/>
              </w:rPr>
              <w:t>3</w:t>
            </w:r>
            <w:r w:rsidR="00A8100A" w:rsidRPr="00A543E4">
              <w:rPr>
                <w:rFonts w:asciiTheme="majorHAnsi" w:hAnsiTheme="majorHAnsi" w:cstheme="majorHAnsi"/>
                <w:b w:val="0"/>
                <w:bCs w:val="0"/>
              </w:rPr>
              <w:t>. Make a proactive offer of clinical frailty assessment followed by a holistic care plan of community-based support to all those identified as being likely to have moderate frailty from medical records and referrals. Repeat the offer at 5 yearly intervals or sooner by referral or trigger event e.g. unplanned care episode; for those at risk of health inequality the offer should be made at a 3-yearly interval</w:t>
            </w:r>
          </w:p>
          <w:p w14:paraId="25DDC52E" w14:textId="77777777" w:rsidR="00A8100A" w:rsidRPr="00A543E4" w:rsidRDefault="00A8100A" w:rsidP="00A543E4">
            <w:pPr>
              <w:contextualSpacing/>
              <w:rPr>
                <w:rFonts w:asciiTheme="majorHAnsi" w:hAnsiTheme="majorHAnsi" w:cstheme="majorHAnsi"/>
                <w:b w:val="0"/>
                <w:bCs w:val="0"/>
              </w:rPr>
            </w:pPr>
          </w:p>
          <w:p w14:paraId="47E247D5" w14:textId="27D994EE" w:rsidR="00A8100A" w:rsidRPr="00A543E4" w:rsidRDefault="00A543E4" w:rsidP="00A543E4">
            <w:pPr>
              <w:contextualSpacing/>
              <w:rPr>
                <w:rFonts w:asciiTheme="majorHAnsi" w:hAnsiTheme="majorHAnsi" w:cstheme="majorHAnsi"/>
                <w:b w:val="0"/>
                <w:bCs w:val="0"/>
              </w:rPr>
            </w:pPr>
            <w:r>
              <w:rPr>
                <w:rFonts w:asciiTheme="majorHAnsi" w:hAnsiTheme="majorHAnsi" w:cstheme="majorHAnsi"/>
                <w:b w:val="0"/>
                <w:bCs w:val="0"/>
              </w:rPr>
              <w:t>4</w:t>
            </w:r>
            <w:r w:rsidR="00A8100A" w:rsidRPr="00A543E4">
              <w:rPr>
                <w:rFonts w:asciiTheme="majorHAnsi" w:hAnsiTheme="majorHAnsi" w:cstheme="majorHAnsi"/>
                <w:b w:val="0"/>
                <w:bCs w:val="0"/>
              </w:rPr>
              <w:t>. Make a proactive offer of Comprehensive Geriatric Assessment, case co-ordination, Advance Care Plan and ReSPECT to all those identified as being likely to have severe frailty from medical records and referrals.  Case coordinator to arrange review as needs evolve</w:t>
            </w:r>
          </w:p>
          <w:p w14:paraId="4EEA9337" w14:textId="77777777" w:rsidR="00A8100A" w:rsidRPr="00A543E4" w:rsidRDefault="00A8100A" w:rsidP="00A543E4">
            <w:pPr>
              <w:contextualSpacing/>
              <w:rPr>
                <w:rFonts w:asciiTheme="majorHAnsi" w:hAnsiTheme="majorHAnsi" w:cstheme="majorHAnsi"/>
                <w:b w:val="0"/>
                <w:bCs w:val="0"/>
              </w:rPr>
            </w:pPr>
          </w:p>
          <w:p w14:paraId="181E80D8" w14:textId="1800D7F2" w:rsidR="00A8100A" w:rsidRPr="00CC6109" w:rsidRDefault="00A543E4" w:rsidP="00A543E4">
            <w:pPr>
              <w:contextualSpacing/>
              <w:rPr>
                <w:rFonts w:asciiTheme="majorHAnsi" w:hAnsiTheme="majorHAnsi" w:cstheme="majorHAnsi"/>
              </w:rPr>
            </w:pPr>
            <w:r>
              <w:rPr>
                <w:rFonts w:asciiTheme="majorHAnsi" w:hAnsiTheme="majorHAnsi" w:cstheme="majorHAnsi"/>
                <w:b w:val="0"/>
                <w:bCs w:val="0"/>
              </w:rPr>
              <w:t>5</w:t>
            </w:r>
            <w:r w:rsidR="00A8100A" w:rsidRPr="00A543E4">
              <w:rPr>
                <w:rFonts w:asciiTheme="majorHAnsi" w:hAnsiTheme="majorHAnsi" w:cstheme="majorHAnsi"/>
                <w:b w:val="0"/>
                <w:bCs w:val="0"/>
              </w:rPr>
              <w:t>. Provide Frailty Assessment Unit at both acute sites 7 days a week, linking to community frailty management services and related pathways</w:t>
            </w:r>
          </w:p>
        </w:tc>
      </w:tr>
    </w:tbl>
    <w:p w14:paraId="55100005" w14:textId="77777777" w:rsidR="00C56FEC" w:rsidRDefault="00C56FEC" w:rsidP="00C56FEC">
      <w:pPr>
        <w:spacing w:after="0" w:line="360" w:lineRule="auto"/>
        <w:rPr>
          <w:rFonts w:asciiTheme="majorHAnsi" w:hAnsiTheme="majorHAnsi" w:cstheme="majorHAnsi"/>
        </w:rPr>
      </w:pPr>
      <w:bookmarkStart w:id="0" w:name="_Hlk187326144"/>
    </w:p>
    <w:p w14:paraId="25532D3C" w14:textId="0FF63A2D" w:rsidR="00952091" w:rsidRDefault="00155648" w:rsidP="00C56FEC">
      <w:pPr>
        <w:spacing w:after="0" w:line="360" w:lineRule="auto"/>
      </w:pPr>
      <w:r>
        <w:rPr>
          <w:rFonts w:asciiTheme="majorHAnsi" w:hAnsiTheme="majorHAnsi" w:cstheme="majorHAnsi"/>
        </w:rPr>
        <w:t xml:space="preserve">Implementation of the strategy will be overseen by the Healthy Ageing and Frailty Strategy Steering Group, reporting to existing council and NHS committees and partnership Boards.  A working group for each pillar will </w:t>
      </w:r>
      <w:r w:rsidR="00C56FEC">
        <w:rPr>
          <w:rFonts w:asciiTheme="majorHAnsi" w:hAnsiTheme="majorHAnsi" w:cstheme="majorHAnsi"/>
        </w:rPr>
        <w:t xml:space="preserve">ensure delivery and </w:t>
      </w:r>
      <w:r>
        <w:rPr>
          <w:rFonts w:asciiTheme="majorHAnsi" w:hAnsiTheme="majorHAnsi" w:cstheme="majorHAnsi"/>
        </w:rPr>
        <w:t xml:space="preserve">report to the steering group.  </w:t>
      </w:r>
      <w:bookmarkEnd w:id="0"/>
    </w:p>
    <w:p w14:paraId="44A28474" w14:textId="227271E4" w:rsidR="00F71932" w:rsidRDefault="00F71932" w:rsidP="003B2672">
      <w:pPr>
        <w:spacing w:before="240" w:line="360" w:lineRule="auto"/>
        <w:sectPr w:rsidR="00F71932" w:rsidSect="0061679C">
          <w:footerReference w:type="default" r:id="rId16"/>
          <w:type w:val="continuous"/>
          <w:pgSz w:w="11906" w:h="16838"/>
          <w:pgMar w:top="1134" w:right="991" w:bottom="709" w:left="1134" w:header="283" w:footer="567"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656EEC74" w14:textId="77777777" w:rsidR="00EA3C5F" w:rsidRDefault="00EA3C5F" w:rsidP="00155648">
      <w:pPr>
        <w:spacing w:after="0" w:line="360" w:lineRule="auto"/>
        <w:ind w:left="-993" w:firstLine="284"/>
        <w:rPr>
          <w:rFonts w:asciiTheme="majorHAnsi" w:hAnsiTheme="majorHAnsi" w:cstheme="majorHAnsi"/>
          <w:b/>
          <w:bCs/>
          <w:sz w:val="28"/>
          <w:szCs w:val="28"/>
        </w:rPr>
      </w:pPr>
    </w:p>
    <w:p w14:paraId="1A2F8080" w14:textId="4AE74309" w:rsidR="00B4543C" w:rsidRDefault="00B4543C" w:rsidP="00155648">
      <w:pPr>
        <w:spacing w:after="0" w:line="360" w:lineRule="auto"/>
        <w:ind w:left="-993" w:firstLine="284"/>
        <w:rPr>
          <w:rFonts w:asciiTheme="majorHAnsi" w:hAnsiTheme="majorHAnsi" w:cstheme="majorHAnsi"/>
          <w:b/>
          <w:bCs/>
          <w:sz w:val="28"/>
          <w:szCs w:val="28"/>
        </w:rPr>
      </w:pPr>
      <w:r w:rsidRPr="0066071E">
        <w:rPr>
          <w:rFonts w:asciiTheme="majorHAnsi" w:hAnsiTheme="majorHAnsi" w:cstheme="majorHAnsi"/>
          <w:b/>
          <w:bCs/>
          <w:sz w:val="28"/>
          <w:szCs w:val="28"/>
        </w:rPr>
        <w:t xml:space="preserve">Figure </w:t>
      </w:r>
      <w:r>
        <w:rPr>
          <w:rFonts w:asciiTheme="majorHAnsi" w:hAnsiTheme="majorHAnsi" w:cstheme="majorHAnsi"/>
          <w:b/>
          <w:bCs/>
          <w:sz w:val="28"/>
          <w:szCs w:val="28"/>
        </w:rPr>
        <w:t>3</w:t>
      </w:r>
      <w:r w:rsidRPr="0066071E">
        <w:rPr>
          <w:rFonts w:asciiTheme="majorHAnsi" w:hAnsiTheme="majorHAnsi" w:cstheme="majorHAnsi"/>
          <w:b/>
          <w:bCs/>
          <w:sz w:val="28"/>
          <w:szCs w:val="28"/>
        </w:rPr>
        <w:t xml:space="preserve">. </w:t>
      </w:r>
      <w:r>
        <w:rPr>
          <w:rFonts w:asciiTheme="majorHAnsi" w:hAnsiTheme="majorHAnsi" w:cstheme="majorHAnsi"/>
          <w:b/>
          <w:bCs/>
          <w:sz w:val="28"/>
          <w:szCs w:val="28"/>
        </w:rPr>
        <w:t xml:space="preserve">The Five Pillars of </w:t>
      </w:r>
      <w:r w:rsidR="00DE086B">
        <w:rPr>
          <w:rFonts w:asciiTheme="majorHAnsi" w:hAnsiTheme="majorHAnsi" w:cstheme="majorHAnsi"/>
          <w:b/>
          <w:bCs/>
          <w:sz w:val="28"/>
          <w:szCs w:val="28"/>
        </w:rPr>
        <w:t>our</w:t>
      </w:r>
      <w:r>
        <w:rPr>
          <w:rFonts w:asciiTheme="majorHAnsi" w:hAnsiTheme="majorHAnsi" w:cstheme="majorHAnsi"/>
          <w:b/>
          <w:bCs/>
          <w:sz w:val="28"/>
          <w:szCs w:val="28"/>
        </w:rPr>
        <w:t xml:space="preserve"> </w:t>
      </w:r>
      <w:r w:rsidRPr="0066071E">
        <w:rPr>
          <w:rFonts w:asciiTheme="majorHAnsi" w:hAnsiTheme="majorHAnsi" w:cstheme="majorHAnsi"/>
          <w:b/>
          <w:bCs/>
          <w:sz w:val="28"/>
          <w:szCs w:val="28"/>
        </w:rPr>
        <w:t xml:space="preserve">Healthy Ageing and Frailty Strategy </w:t>
      </w:r>
    </w:p>
    <w:p w14:paraId="2ADF54A1" w14:textId="0BCA6D4B" w:rsidR="00EA3C5F" w:rsidRDefault="007E71E1" w:rsidP="00155648">
      <w:pPr>
        <w:spacing w:after="0" w:line="360" w:lineRule="auto"/>
        <w:ind w:left="-993" w:firstLine="284"/>
        <w:rPr>
          <w:rFonts w:asciiTheme="majorHAnsi" w:hAnsiTheme="majorHAnsi" w:cstheme="majorHAnsi"/>
          <w:b/>
          <w:bCs/>
        </w:rPr>
      </w:pPr>
      <w:r w:rsidRPr="007E71E1">
        <w:rPr>
          <w:rFonts w:asciiTheme="majorHAnsi" w:hAnsiTheme="majorHAnsi" w:cstheme="majorHAnsi"/>
          <w:b/>
          <w:bCs/>
          <w:noProof/>
        </w:rPr>
        <w:drawing>
          <wp:inline distT="0" distB="0" distL="0" distR="0" wp14:anchorId="6FCF7BA2" wp14:editId="5BD6D018">
            <wp:extent cx="9867331" cy="5542332"/>
            <wp:effectExtent l="0" t="0" r="635" b="1270"/>
            <wp:docPr id="1195656203" name="Picture 1" descr="A diagram of a proc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656203" name="Picture 1" descr="A diagram of a process&#10;&#10;Description automatically generated with medium confidence"/>
                    <pic:cNvPicPr/>
                  </pic:nvPicPr>
                  <pic:blipFill>
                    <a:blip r:embed="rId17"/>
                    <a:stretch>
                      <a:fillRect/>
                    </a:stretch>
                  </pic:blipFill>
                  <pic:spPr>
                    <a:xfrm>
                      <a:off x="0" y="0"/>
                      <a:ext cx="9881754" cy="5550433"/>
                    </a:xfrm>
                    <a:prstGeom prst="rect">
                      <a:avLst/>
                    </a:prstGeom>
                  </pic:spPr>
                </pic:pic>
              </a:graphicData>
            </a:graphic>
          </wp:inline>
        </w:drawing>
      </w:r>
    </w:p>
    <w:p w14:paraId="6410B03B" w14:textId="53A0AA88" w:rsidR="00EA3C5F" w:rsidRDefault="00C62878" w:rsidP="00EA3C5F">
      <w:pPr>
        <w:spacing w:after="0" w:line="360" w:lineRule="auto"/>
        <w:ind w:left="-993" w:firstLine="284"/>
        <w:rPr>
          <w:rFonts w:asciiTheme="majorHAnsi" w:hAnsiTheme="majorHAnsi" w:cstheme="majorHAnsi"/>
          <w:b/>
          <w:bCs/>
        </w:rPr>
        <w:sectPr w:rsidR="00EA3C5F" w:rsidSect="006710A5">
          <w:pgSz w:w="16838" w:h="11906" w:orient="landscape"/>
          <w:pgMar w:top="568" w:right="1440" w:bottom="142" w:left="1440" w:header="283" w:footer="454"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C62878">
        <w:rPr>
          <w:rFonts w:asciiTheme="majorHAnsi" w:hAnsiTheme="majorHAnsi" w:cstheme="majorHAnsi"/>
          <w:b/>
          <w:bCs/>
          <w:noProof/>
        </w:rPr>
        <w:t xml:space="preserve"> </w:t>
      </w:r>
    </w:p>
    <w:p w14:paraId="096F1F4F" w14:textId="2CC6800A" w:rsidR="00F71932" w:rsidRPr="00952091" w:rsidRDefault="00C321BD" w:rsidP="00F71932">
      <w:pPr>
        <w:spacing w:before="240" w:line="360" w:lineRule="auto"/>
        <w:rPr>
          <w:b/>
          <w:bCs/>
          <w:sz w:val="28"/>
          <w:szCs w:val="28"/>
        </w:rPr>
      </w:pPr>
      <w:r>
        <w:rPr>
          <w:b/>
          <w:bCs/>
          <w:sz w:val="28"/>
          <w:szCs w:val="28"/>
        </w:rPr>
        <w:t>How We Will Monitor Progress</w:t>
      </w:r>
    </w:p>
    <w:p w14:paraId="0D3D93C6" w14:textId="42182047" w:rsidR="001413AF" w:rsidRDefault="00F71932" w:rsidP="009B550C">
      <w:pPr>
        <w:spacing w:after="0" w:line="360" w:lineRule="auto"/>
      </w:pPr>
      <w:r>
        <w:t>Progress towards achieving the objectives set out in Text Box 1 will be reviewed at the end of each year</w:t>
      </w:r>
      <w:r w:rsidR="00C56FEC">
        <w:t>.  A</w:t>
      </w:r>
      <w:r>
        <w:t xml:space="preserve">t the end of the 3-year strategy implementation period success will be assessed, with particular focus on process outcomes to reflect the short timescale.  Process outcomes are indications of progress towards achieving longer term shifts in overriding objectives such as the median age of frailty onset, reduced proportion of the cohort progressing to moderate and severe frailty, and reduced inequity in the experience of frailty.  </w:t>
      </w:r>
      <w:r w:rsidR="00C56FEC">
        <w:t>T</w:t>
      </w:r>
      <w:r>
        <w:t xml:space="preserve">he working groups should report to the steering group on successes, challenges and learning, to inform a review of the Healthy Ageing and Frailty Strategy, including full business cases to support sustainable funding arrangements.  The level of strategic ambition should be reviewed at this stage, and the evidence should be considered for extending the reach of proactive care models into targeted screening for common </w:t>
      </w:r>
      <w:r w:rsidR="00C56FEC">
        <w:t xml:space="preserve">features and </w:t>
      </w:r>
      <w:r>
        <w:t xml:space="preserve">pre-cursors </w:t>
      </w:r>
      <w:r w:rsidR="00C56FEC">
        <w:t xml:space="preserve">of </w:t>
      </w:r>
      <w:r>
        <w:t xml:space="preserve">frailty.  </w:t>
      </w:r>
    </w:p>
    <w:p w14:paraId="65A4E044" w14:textId="77777777" w:rsidR="009B550C" w:rsidRPr="00C56FEC" w:rsidRDefault="009B550C" w:rsidP="009B550C">
      <w:pPr>
        <w:spacing w:after="0" w:line="360" w:lineRule="auto"/>
      </w:pPr>
    </w:p>
    <w:p w14:paraId="6C089C3A" w14:textId="77777777" w:rsidR="001413AF" w:rsidRDefault="001413AF" w:rsidP="00F71932">
      <w:pPr>
        <w:ind w:hanging="284"/>
        <w:jc w:val="center"/>
        <w:rPr>
          <w:rFonts w:asciiTheme="majorHAnsi" w:hAnsiTheme="majorHAnsi" w:cstheme="majorHAnsi"/>
          <w:b/>
          <w:bCs/>
          <w:sz w:val="28"/>
          <w:szCs w:val="28"/>
        </w:rPr>
      </w:pPr>
      <w:r>
        <w:rPr>
          <w:rFonts w:asciiTheme="majorHAnsi" w:hAnsiTheme="majorHAnsi" w:cstheme="majorHAnsi"/>
          <w:b/>
          <w:bCs/>
          <w:noProof/>
          <w:sz w:val="28"/>
          <w:szCs w:val="28"/>
        </w:rPr>
        <w:drawing>
          <wp:inline distT="0" distB="0" distL="0" distR="0" wp14:anchorId="215E4CA4" wp14:editId="742AADE0">
            <wp:extent cx="5084618" cy="2307208"/>
            <wp:effectExtent l="0" t="0" r="0" b="0"/>
            <wp:docPr id="1343211316" name="Picture 5"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211316" name="Picture 5" descr="A close-up of a cha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23607" cy="2324900"/>
                    </a:xfrm>
                    <a:prstGeom prst="rect">
                      <a:avLst/>
                    </a:prstGeom>
                    <a:noFill/>
                  </pic:spPr>
                </pic:pic>
              </a:graphicData>
            </a:graphic>
          </wp:inline>
        </w:drawing>
      </w:r>
    </w:p>
    <w:p w14:paraId="072918A7" w14:textId="4EA375E4" w:rsidR="009B550C" w:rsidRPr="00155648" w:rsidRDefault="00155648" w:rsidP="00155648">
      <w:pPr>
        <w:rPr>
          <w:rFonts w:asciiTheme="majorHAnsi" w:hAnsiTheme="majorHAnsi" w:cstheme="majorHAnsi"/>
          <w:b/>
          <w:bCs/>
        </w:rPr>
      </w:pPr>
      <w:r w:rsidRPr="00155648">
        <w:rPr>
          <w:rFonts w:asciiTheme="majorHAnsi" w:hAnsiTheme="majorHAnsi" w:cstheme="majorHAnsi"/>
          <w:b/>
          <w:bCs/>
        </w:rPr>
        <w:t xml:space="preserve">Figure 4. When We Will Reach Key Milestones </w:t>
      </w:r>
    </w:p>
    <w:p w14:paraId="2D5BB246" w14:textId="77777777" w:rsidR="00F71932" w:rsidRDefault="00F71932" w:rsidP="00F71932">
      <w:pPr>
        <w:spacing w:after="0" w:line="360" w:lineRule="auto"/>
        <w:rPr>
          <w:rFonts w:asciiTheme="majorHAnsi" w:hAnsiTheme="majorHAnsi" w:cstheme="majorHAnsi"/>
          <w:sz w:val="2"/>
          <w:szCs w:val="2"/>
        </w:rPr>
      </w:pPr>
    </w:p>
    <w:p w14:paraId="2D836792" w14:textId="77777777" w:rsidR="009B550C" w:rsidRPr="00F71932" w:rsidRDefault="009B550C" w:rsidP="00F71932">
      <w:pPr>
        <w:spacing w:after="0" w:line="360" w:lineRule="auto"/>
        <w:rPr>
          <w:rFonts w:asciiTheme="majorHAnsi" w:hAnsiTheme="majorHAnsi" w:cstheme="majorHAnsi"/>
          <w:sz w:val="2"/>
          <w:szCs w:val="2"/>
        </w:rPr>
      </w:pPr>
    </w:p>
    <w:p w14:paraId="16E9829F" w14:textId="4106237E" w:rsidR="00F71932" w:rsidRDefault="00952091" w:rsidP="00F71932">
      <w:pPr>
        <w:spacing w:before="240" w:after="0" w:line="360" w:lineRule="auto"/>
        <w:rPr>
          <w:rFonts w:asciiTheme="majorHAnsi" w:hAnsiTheme="majorHAnsi" w:cstheme="majorHAnsi"/>
        </w:rPr>
      </w:pPr>
      <w:r>
        <w:rPr>
          <w:rFonts w:asciiTheme="majorHAnsi" w:hAnsiTheme="majorHAnsi" w:cstheme="majorHAnsi"/>
        </w:rPr>
        <w:t xml:space="preserve">To support achievement of the strategy aims, it is recommended that a network of Healthy Ageing Champions are nominated, to bring this vital lens to other strategy development and implementation processes across the partner organisations of the ICS, and that relevant healthy ageing metrics are incorporated in all ICS outcomes frameworks to reinforce and share accountability for </w:t>
      </w:r>
      <w:r w:rsidR="009B550C">
        <w:rPr>
          <w:rFonts w:asciiTheme="majorHAnsi" w:hAnsiTheme="majorHAnsi" w:cstheme="majorHAnsi"/>
        </w:rPr>
        <w:t>success</w:t>
      </w:r>
      <w:r>
        <w:rPr>
          <w:rFonts w:asciiTheme="majorHAnsi" w:hAnsiTheme="majorHAnsi" w:cstheme="majorHAnsi"/>
        </w:rPr>
        <w:t xml:space="preserve">. </w:t>
      </w:r>
      <w:r w:rsidR="00F71932">
        <w:rPr>
          <w:rFonts w:asciiTheme="majorHAnsi" w:hAnsiTheme="majorHAnsi" w:cstheme="majorHAnsi"/>
        </w:rPr>
        <w:t xml:space="preserve">  </w:t>
      </w:r>
    </w:p>
    <w:p w14:paraId="7880033B" w14:textId="7D17D8EA" w:rsidR="00155648" w:rsidRDefault="00155648" w:rsidP="00F71932">
      <w:pPr>
        <w:spacing w:before="240" w:after="0" w:line="360" w:lineRule="auto"/>
        <w:rPr>
          <w:rFonts w:asciiTheme="majorHAnsi" w:hAnsiTheme="majorHAnsi" w:cstheme="majorHAnsi"/>
          <w:bCs/>
        </w:rPr>
      </w:pPr>
      <w:r>
        <w:rPr>
          <w:rFonts w:asciiTheme="majorHAnsi" w:hAnsiTheme="majorHAnsi" w:cstheme="majorHAnsi"/>
          <w:bCs/>
        </w:rPr>
        <w:t>Successful delivery of t</w:t>
      </w:r>
      <w:r w:rsidR="00952091">
        <w:rPr>
          <w:rFonts w:asciiTheme="majorHAnsi" w:hAnsiTheme="majorHAnsi" w:cstheme="majorHAnsi"/>
          <w:bCs/>
        </w:rPr>
        <w:t>his</w:t>
      </w:r>
      <w:r>
        <w:rPr>
          <w:rFonts w:asciiTheme="majorHAnsi" w:hAnsiTheme="majorHAnsi" w:cstheme="majorHAnsi"/>
          <w:bCs/>
        </w:rPr>
        <w:t xml:space="preserve"> strategy will</w:t>
      </w:r>
      <w:r w:rsidRPr="00523855">
        <w:rPr>
          <w:rFonts w:asciiTheme="majorHAnsi" w:hAnsiTheme="majorHAnsi" w:cstheme="majorHAnsi"/>
          <w:bCs/>
        </w:rPr>
        <w:t xml:space="preserve"> </w:t>
      </w:r>
    </w:p>
    <w:p w14:paraId="09285274" w14:textId="77777777" w:rsidR="00155648" w:rsidRPr="008669BD" w:rsidRDefault="00155648" w:rsidP="00155648">
      <w:pPr>
        <w:pStyle w:val="ListParagraph"/>
        <w:numPr>
          <w:ilvl w:val="0"/>
          <w:numId w:val="7"/>
        </w:numPr>
        <w:spacing w:after="0" w:line="360" w:lineRule="auto"/>
        <w:ind w:left="1701" w:hanging="283"/>
        <w:rPr>
          <w:rFonts w:asciiTheme="majorHAnsi" w:hAnsiTheme="majorHAnsi" w:cstheme="majorHAnsi"/>
          <w:bCs/>
        </w:rPr>
      </w:pPr>
      <w:r w:rsidRPr="008669BD">
        <w:rPr>
          <w:rFonts w:asciiTheme="majorHAnsi" w:hAnsiTheme="majorHAnsi" w:cstheme="majorHAnsi"/>
          <w:bCs/>
        </w:rPr>
        <w:t>Extend healthy life expectancy</w:t>
      </w:r>
    </w:p>
    <w:p w14:paraId="6AEFD2A7" w14:textId="77777777" w:rsidR="00155648" w:rsidRPr="008669BD" w:rsidRDefault="00155648" w:rsidP="00155648">
      <w:pPr>
        <w:pStyle w:val="ListParagraph"/>
        <w:numPr>
          <w:ilvl w:val="0"/>
          <w:numId w:val="7"/>
        </w:numPr>
        <w:spacing w:after="0" w:line="360" w:lineRule="auto"/>
        <w:ind w:left="1701" w:hanging="283"/>
        <w:rPr>
          <w:rFonts w:asciiTheme="majorHAnsi" w:hAnsiTheme="majorHAnsi" w:cstheme="majorHAnsi"/>
          <w:bCs/>
        </w:rPr>
      </w:pPr>
      <w:r w:rsidRPr="008669BD">
        <w:rPr>
          <w:rFonts w:asciiTheme="majorHAnsi" w:hAnsiTheme="majorHAnsi" w:cstheme="majorHAnsi"/>
          <w:bCs/>
        </w:rPr>
        <w:t>Reduce inequality</w:t>
      </w:r>
    </w:p>
    <w:p w14:paraId="0D713872" w14:textId="77777777" w:rsidR="00155648" w:rsidRPr="008669BD" w:rsidRDefault="00155648" w:rsidP="00155648">
      <w:pPr>
        <w:pStyle w:val="ListParagraph"/>
        <w:numPr>
          <w:ilvl w:val="0"/>
          <w:numId w:val="5"/>
        </w:numPr>
        <w:spacing w:after="0" w:line="360" w:lineRule="auto"/>
        <w:ind w:left="1701" w:hanging="283"/>
        <w:rPr>
          <w:rFonts w:asciiTheme="majorHAnsi" w:hAnsiTheme="majorHAnsi" w:cstheme="majorHAnsi"/>
          <w:bCs/>
        </w:rPr>
      </w:pPr>
      <w:r w:rsidRPr="008669BD">
        <w:rPr>
          <w:rFonts w:asciiTheme="majorHAnsi" w:hAnsiTheme="majorHAnsi" w:cstheme="majorHAnsi"/>
          <w:bCs/>
        </w:rPr>
        <w:t>Improve outcomes and experience of care for those with frailty</w:t>
      </w:r>
    </w:p>
    <w:p w14:paraId="194C6F5D" w14:textId="60259B35" w:rsidR="005D6EDF" w:rsidRPr="00FA6631" w:rsidRDefault="00155648">
      <w:pPr>
        <w:pStyle w:val="ListParagraph"/>
        <w:numPr>
          <w:ilvl w:val="0"/>
          <w:numId w:val="5"/>
        </w:numPr>
        <w:spacing w:before="240" w:after="0" w:line="360" w:lineRule="auto"/>
        <w:ind w:left="1701" w:hanging="283"/>
        <w:rPr>
          <w:rFonts w:asciiTheme="majorHAnsi" w:hAnsiTheme="majorHAnsi" w:cstheme="majorHAnsi"/>
          <w:bCs/>
        </w:rPr>
      </w:pPr>
      <w:r w:rsidRPr="00FA6631">
        <w:rPr>
          <w:rFonts w:asciiTheme="majorHAnsi" w:hAnsiTheme="majorHAnsi" w:cstheme="majorHAnsi"/>
          <w:bCs/>
        </w:rPr>
        <w:t>Reduce growth in demand for health and care services</w:t>
      </w:r>
    </w:p>
    <w:sectPr w:rsidR="005D6EDF" w:rsidRPr="00FA6631" w:rsidSect="006710A5">
      <w:footerReference w:type="default" r:id="rId19"/>
      <w:pgSz w:w="11906" w:h="16838"/>
      <w:pgMar w:top="709" w:right="1440" w:bottom="709" w:left="1440" w:header="283" w:footer="56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813A39" w14:textId="77777777" w:rsidR="003B6B27" w:rsidRDefault="003B6B27">
      <w:pPr>
        <w:spacing w:after="0" w:line="240" w:lineRule="auto"/>
      </w:pPr>
      <w:r>
        <w:separator/>
      </w:r>
    </w:p>
  </w:endnote>
  <w:endnote w:type="continuationSeparator" w:id="0">
    <w:p w14:paraId="495E3DAC" w14:textId="77777777" w:rsidR="003B6B27" w:rsidRDefault="003B6B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4711407"/>
      <w:docPartObj>
        <w:docPartGallery w:val="Page Numbers (Bottom of Page)"/>
        <w:docPartUnique/>
      </w:docPartObj>
    </w:sdtPr>
    <w:sdtEndPr/>
    <w:sdtContent>
      <w:p w14:paraId="0E6540DA" w14:textId="49123D61" w:rsidR="002E0B46" w:rsidRDefault="002E0B46">
        <w:pPr>
          <w:pStyle w:val="Footer"/>
          <w:jc w:val="right"/>
        </w:pPr>
        <w:r>
          <w:fldChar w:fldCharType="begin"/>
        </w:r>
        <w:r>
          <w:instrText>PAGE   \* MERGEFORMAT</w:instrText>
        </w:r>
        <w:r>
          <w:fldChar w:fldCharType="separate"/>
        </w:r>
        <w:r>
          <w:t>2</w:t>
        </w:r>
        <w:r>
          <w:fldChar w:fldCharType="end"/>
        </w:r>
      </w:p>
    </w:sdtContent>
  </w:sdt>
  <w:p w14:paraId="79C33E2A" w14:textId="77777777" w:rsidR="002E0B46" w:rsidRDefault="002E0B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4463811"/>
      <w:docPartObj>
        <w:docPartGallery w:val="Page Numbers (Bottom of Page)"/>
        <w:docPartUnique/>
      </w:docPartObj>
    </w:sdtPr>
    <w:sdtEndPr>
      <w:rPr>
        <w:noProof/>
      </w:rPr>
    </w:sdtEndPr>
    <w:sdtContent>
      <w:p w14:paraId="149DBC02" w14:textId="77777777" w:rsidR="00C06AD3" w:rsidRDefault="00DD056E">
        <w:pPr>
          <w:pStyle w:val="Footer"/>
          <w:jc w:val="right"/>
        </w:pPr>
        <w:r>
          <w:fldChar w:fldCharType="begin"/>
        </w:r>
        <w:r>
          <w:instrText xml:space="preserve"> PAGE   \* MERGEFORMAT </w:instrText>
        </w:r>
        <w:r>
          <w:fldChar w:fldCharType="separate"/>
        </w:r>
        <w:r>
          <w:rPr>
            <w:noProof/>
          </w:rPr>
          <w:t>13</w:t>
        </w:r>
        <w:r>
          <w:rPr>
            <w:noProof/>
          </w:rPr>
          <w:fldChar w:fldCharType="end"/>
        </w:r>
      </w:p>
    </w:sdtContent>
  </w:sdt>
  <w:p w14:paraId="02426528" w14:textId="77777777" w:rsidR="00C06AD3" w:rsidRDefault="00C06AD3">
    <w:pPr>
      <w:pStyle w:val="Footer"/>
    </w:pPr>
  </w:p>
  <w:p w14:paraId="2171091C" w14:textId="77777777" w:rsidR="00DD056E" w:rsidRDefault="00DD056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433805" w14:textId="77777777" w:rsidR="003B6B27" w:rsidRDefault="003B6B27">
      <w:pPr>
        <w:spacing w:after="0" w:line="240" w:lineRule="auto"/>
      </w:pPr>
      <w:r>
        <w:separator/>
      </w:r>
    </w:p>
  </w:footnote>
  <w:footnote w:type="continuationSeparator" w:id="0">
    <w:p w14:paraId="192ED94D" w14:textId="77777777" w:rsidR="003B6B27" w:rsidRDefault="003B6B27">
      <w:pPr>
        <w:spacing w:after="0" w:line="240" w:lineRule="auto"/>
      </w:pPr>
      <w:r>
        <w:continuationSeparator/>
      </w:r>
    </w:p>
  </w:footnote>
  <w:footnote w:id="1">
    <w:p w14:paraId="14CBBC23" w14:textId="2DACCCC6" w:rsidR="00460D72" w:rsidRPr="006710A5" w:rsidRDefault="00460D72" w:rsidP="00460D72">
      <w:pPr>
        <w:spacing w:after="240" w:line="276" w:lineRule="auto"/>
        <w:rPr>
          <w:sz w:val="18"/>
          <w:szCs w:val="18"/>
        </w:rPr>
      </w:pPr>
      <w:r w:rsidRPr="006710A5">
        <w:rPr>
          <w:rStyle w:val="FootnoteReference"/>
          <w:sz w:val="18"/>
          <w:szCs w:val="18"/>
        </w:rPr>
        <w:footnoteRef/>
      </w:r>
      <w:r w:rsidRPr="006710A5">
        <w:rPr>
          <w:sz w:val="18"/>
          <w:szCs w:val="18"/>
        </w:rPr>
        <w:t xml:space="preserve"> </w:t>
      </w:r>
      <w:r w:rsidRPr="006710A5">
        <w:rPr>
          <w:rFonts w:asciiTheme="majorHAnsi" w:hAnsiTheme="majorHAnsi"/>
          <w:sz w:val="18"/>
          <w:szCs w:val="18"/>
        </w:rPr>
        <w:t xml:space="preserve">Hollinghurst J, Fry R, Akbari A, et al. External validation of the electronic frailty index using the population of Wales within the Secure Anonymised Information Linkage Databank. </w:t>
      </w:r>
      <w:r w:rsidRPr="006710A5">
        <w:rPr>
          <w:rFonts w:asciiTheme="majorHAnsi" w:hAnsiTheme="majorHAnsi"/>
          <w:i/>
          <w:iCs/>
          <w:sz w:val="18"/>
          <w:szCs w:val="18"/>
        </w:rPr>
        <w:t>Age Ageing</w:t>
      </w:r>
      <w:r w:rsidRPr="006710A5">
        <w:rPr>
          <w:rFonts w:asciiTheme="majorHAnsi" w:hAnsiTheme="majorHAnsi"/>
          <w:sz w:val="18"/>
          <w:szCs w:val="18"/>
        </w:rPr>
        <w:t>. 2019;48(6):922-926</w:t>
      </w:r>
    </w:p>
  </w:footnote>
  <w:footnote w:id="2">
    <w:p w14:paraId="7EC35F17" w14:textId="6AF68781" w:rsidR="00460D72" w:rsidRDefault="00460D72" w:rsidP="00460D72">
      <w:pPr>
        <w:spacing w:after="240" w:line="276" w:lineRule="auto"/>
      </w:pPr>
      <w:r w:rsidRPr="006710A5">
        <w:rPr>
          <w:rStyle w:val="FootnoteReference"/>
          <w:sz w:val="18"/>
          <w:szCs w:val="18"/>
        </w:rPr>
        <w:footnoteRef/>
      </w:r>
      <w:r w:rsidRPr="006710A5">
        <w:rPr>
          <w:sz w:val="18"/>
          <w:szCs w:val="18"/>
        </w:rPr>
        <w:t xml:space="preserve"> </w:t>
      </w:r>
      <w:r w:rsidRPr="006710A5">
        <w:rPr>
          <w:rFonts w:asciiTheme="majorHAnsi" w:hAnsiTheme="majorHAnsi"/>
          <w:sz w:val="18"/>
          <w:szCs w:val="18"/>
        </w:rPr>
        <w:t xml:space="preserve">Fogg C, England T, Zhu S, et al. Primary and secondary care service use and costs associated with frailty in an ageing population: longitudinal analysis of an English primary care cohort of adults aged 50 and over, 2006-2017. </w:t>
      </w:r>
      <w:r w:rsidRPr="006710A5">
        <w:rPr>
          <w:rStyle w:val="Emphasis"/>
          <w:rFonts w:asciiTheme="majorHAnsi" w:hAnsiTheme="majorHAnsi"/>
          <w:sz w:val="18"/>
          <w:szCs w:val="18"/>
        </w:rPr>
        <w:t>Age Ageing</w:t>
      </w:r>
      <w:r w:rsidRPr="006710A5">
        <w:rPr>
          <w:rFonts w:asciiTheme="majorHAnsi" w:hAnsiTheme="majorHAnsi"/>
          <w:sz w:val="18"/>
          <w:szCs w:val="18"/>
        </w:rPr>
        <w:t>. 2024;53(2)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11B4A"/>
    <w:multiLevelType w:val="hybridMultilevel"/>
    <w:tmpl w:val="7C7401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3F25F6A"/>
    <w:multiLevelType w:val="hybridMultilevel"/>
    <w:tmpl w:val="50C63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071808"/>
    <w:multiLevelType w:val="hybridMultilevel"/>
    <w:tmpl w:val="04382C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B911C68"/>
    <w:multiLevelType w:val="hybridMultilevel"/>
    <w:tmpl w:val="E2A0995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027BEE"/>
    <w:multiLevelType w:val="hybridMultilevel"/>
    <w:tmpl w:val="9A1EFB9A"/>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E723057"/>
    <w:multiLevelType w:val="hybridMultilevel"/>
    <w:tmpl w:val="6960F7A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3C063A"/>
    <w:multiLevelType w:val="hybridMultilevel"/>
    <w:tmpl w:val="896C5E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8DB4E46"/>
    <w:multiLevelType w:val="hybridMultilevel"/>
    <w:tmpl w:val="85B84B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9182963">
    <w:abstractNumId w:val="0"/>
  </w:num>
  <w:num w:numId="2" w16cid:durableId="728773267">
    <w:abstractNumId w:val="1"/>
  </w:num>
  <w:num w:numId="3" w16cid:durableId="983318125">
    <w:abstractNumId w:val="7"/>
  </w:num>
  <w:num w:numId="4" w16cid:durableId="349186438">
    <w:abstractNumId w:val="3"/>
  </w:num>
  <w:num w:numId="5" w16cid:durableId="918100986">
    <w:abstractNumId w:val="4"/>
  </w:num>
  <w:num w:numId="6" w16cid:durableId="222907393">
    <w:abstractNumId w:val="2"/>
  </w:num>
  <w:num w:numId="7" w16cid:durableId="1675499052">
    <w:abstractNumId w:val="5"/>
  </w:num>
  <w:num w:numId="8" w16cid:durableId="133819139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53F"/>
    <w:rsid w:val="000014A3"/>
    <w:rsid w:val="00002502"/>
    <w:rsid w:val="0000576A"/>
    <w:rsid w:val="000177DC"/>
    <w:rsid w:val="000210FF"/>
    <w:rsid w:val="00021A95"/>
    <w:rsid w:val="00026534"/>
    <w:rsid w:val="000330E8"/>
    <w:rsid w:val="0003523C"/>
    <w:rsid w:val="00035AB3"/>
    <w:rsid w:val="00044332"/>
    <w:rsid w:val="00052853"/>
    <w:rsid w:val="00052893"/>
    <w:rsid w:val="0006120D"/>
    <w:rsid w:val="00061300"/>
    <w:rsid w:val="0006427B"/>
    <w:rsid w:val="00065912"/>
    <w:rsid w:val="00070960"/>
    <w:rsid w:val="00084013"/>
    <w:rsid w:val="00084D79"/>
    <w:rsid w:val="000920A1"/>
    <w:rsid w:val="00095283"/>
    <w:rsid w:val="000961DF"/>
    <w:rsid w:val="000B1E0E"/>
    <w:rsid w:val="000C1F95"/>
    <w:rsid w:val="000C2E04"/>
    <w:rsid w:val="000C6B5B"/>
    <w:rsid w:val="000C71C4"/>
    <w:rsid w:val="000D13C6"/>
    <w:rsid w:val="000D2066"/>
    <w:rsid w:val="000E3F81"/>
    <w:rsid w:val="000F0DF7"/>
    <w:rsid w:val="000F320F"/>
    <w:rsid w:val="000F77F1"/>
    <w:rsid w:val="000F7F6C"/>
    <w:rsid w:val="00100742"/>
    <w:rsid w:val="00105402"/>
    <w:rsid w:val="00105BFD"/>
    <w:rsid w:val="00106B6B"/>
    <w:rsid w:val="001101AB"/>
    <w:rsid w:val="001226A9"/>
    <w:rsid w:val="00131D11"/>
    <w:rsid w:val="00131DEB"/>
    <w:rsid w:val="001337A7"/>
    <w:rsid w:val="00133BFE"/>
    <w:rsid w:val="00134585"/>
    <w:rsid w:val="00140D56"/>
    <w:rsid w:val="001413AF"/>
    <w:rsid w:val="001449CA"/>
    <w:rsid w:val="0015411E"/>
    <w:rsid w:val="00155648"/>
    <w:rsid w:val="00167040"/>
    <w:rsid w:val="0017380A"/>
    <w:rsid w:val="001800F4"/>
    <w:rsid w:val="001832FA"/>
    <w:rsid w:val="00186E3D"/>
    <w:rsid w:val="00187268"/>
    <w:rsid w:val="00193EEF"/>
    <w:rsid w:val="00196A38"/>
    <w:rsid w:val="001A4CC7"/>
    <w:rsid w:val="001A521C"/>
    <w:rsid w:val="001B1ECC"/>
    <w:rsid w:val="001B54DE"/>
    <w:rsid w:val="001B7A17"/>
    <w:rsid w:val="001C1D27"/>
    <w:rsid w:val="001D1795"/>
    <w:rsid w:val="001E5889"/>
    <w:rsid w:val="001E73A2"/>
    <w:rsid w:val="001F2949"/>
    <w:rsid w:val="001F5371"/>
    <w:rsid w:val="001F5819"/>
    <w:rsid w:val="00203582"/>
    <w:rsid w:val="002036BE"/>
    <w:rsid w:val="0020553E"/>
    <w:rsid w:val="00210159"/>
    <w:rsid w:val="0021044F"/>
    <w:rsid w:val="00210B99"/>
    <w:rsid w:val="0021170D"/>
    <w:rsid w:val="002232D2"/>
    <w:rsid w:val="0024041D"/>
    <w:rsid w:val="00250013"/>
    <w:rsid w:val="00252994"/>
    <w:rsid w:val="002552DF"/>
    <w:rsid w:val="00255D9D"/>
    <w:rsid w:val="00256D9E"/>
    <w:rsid w:val="0025700A"/>
    <w:rsid w:val="00263D30"/>
    <w:rsid w:val="002667BE"/>
    <w:rsid w:val="00267A0D"/>
    <w:rsid w:val="00270D9A"/>
    <w:rsid w:val="002726DE"/>
    <w:rsid w:val="00276535"/>
    <w:rsid w:val="002800B3"/>
    <w:rsid w:val="00283B04"/>
    <w:rsid w:val="0028770C"/>
    <w:rsid w:val="00290519"/>
    <w:rsid w:val="0029174C"/>
    <w:rsid w:val="00292071"/>
    <w:rsid w:val="00292235"/>
    <w:rsid w:val="00294872"/>
    <w:rsid w:val="00297A0C"/>
    <w:rsid w:val="002A2EFB"/>
    <w:rsid w:val="002A3DE1"/>
    <w:rsid w:val="002A7DA5"/>
    <w:rsid w:val="002B07C9"/>
    <w:rsid w:val="002B090F"/>
    <w:rsid w:val="002B2A6B"/>
    <w:rsid w:val="002B3339"/>
    <w:rsid w:val="002C0655"/>
    <w:rsid w:val="002C192C"/>
    <w:rsid w:val="002C3339"/>
    <w:rsid w:val="002C4018"/>
    <w:rsid w:val="002C5577"/>
    <w:rsid w:val="002C5682"/>
    <w:rsid w:val="002D1438"/>
    <w:rsid w:val="002D3B23"/>
    <w:rsid w:val="002D7692"/>
    <w:rsid w:val="002D7BFF"/>
    <w:rsid w:val="002E0B46"/>
    <w:rsid w:val="002E149A"/>
    <w:rsid w:val="002E4707"/>
    <w:rsid w:val="002E6918"/>
    <w:rsid w:val="002F6165"/>
    <w:rsid w:val="00303683"/>
    <w:rsid w:val="00303C00"/>
    <w:rsid w:val="00304501"/>
    <w:rsid w:val="00304789"/>
    <w:rsid w:val="0030677D"/>
    <w:rsid w:val="003077D3"/>
    <w:rsid w:val="00311041"/>
    <w:rsid w:val="003110FB"/>
    <w:rsid w:val="00314401"/>
    <w:rsid w:val="00314D18"/>
    <w:rsid w:val="00316B36"/>
    <w:rsid w:val="00316FD2"/>
    <w:rsid w:val="00320E96"/>
    <w:rsid w:val="00326A6B"/>
    <w:rsid w:val="00330904"/>
    <w:rsid w:val="00332F42"/>
    <w:rsid w:val="003340CA"/>
    <w:rsid w:val="003363C4"/>
    <w:rsid w:val="00336E7B"/>
    <w:rsid w:val="003417BB"/>
    <w:rsid w:val="0035490D"/>
    <w:rsid w:val="00357A26"/>
    <w:rsid w:val="003605F2"/>
    <w:rsid w:val="0036195E"/>
    <w:rsid w:val="00362027"/>
    <w:rsid w:val="0036770E"/>
    <w:rsid w:val="003759F6"/>
    <w:rsid w:val="003922AE"/>
    <w:rsid w:val="00393698"/>
    <w:rsid w:val="00393BBE"/>
    <w:rsid w:val="00394872"/>
    <w:rsid w:val="00395FF7"/>
    <w:rsid w:val="00396062"/>
    <w:rsid w:val="003A22C3"/>
    <w:rsid w:val="003A26C6"/>
    <w:rsid w:val="003A2AB8"/>
    <w:rsid w:val="003A2B8D"/>
    <w:rsid w:val="003B0954"/>
    <w:rsid w:val="003B2672"/>
    <w:rsid w:val="003B6B27"/>
    <w:rsid w:val="003C1E0F"/>
    <w:rsid w:val="003C75CB"/>
    <w:rsid w:val="003E07E2"/>
    <w:rsid w:val="003E179B"/>
    <w:rsid w:val="003F2B88"/>
    <w:rsid w:val="00401D06"/>
    <w:rsid w:val="00403D77"/>
    <w:rsid w:val="004105A3"/>
    <w:rsid w:val="00410EDE"/>
    <w:rsid w:val="00411A87"/>
    <w:rsid w:val="00416240"/>
    <w:rsid w:val="00416D13"/>
    <w:rsid w:val="00417F26"/>
    <w:rsid w:val="0042652A"/>
    <w:rsid w:val="004306A0"/>
    <w:rsid w:val="004336F1"/>
    <w:rsid w:val="00444ECF"/>
    <w:rsid w:val="004452D9"/>
    <w:rsid w:val="00445BD7"/>
    <w:rsid w:val="004463A6"/>
    <w:rsid w:val="004505AA"/>
    <w:rsid w:val="00450915"/>
    <w:rsid w:val="00451B36"/>
    <w:rsid w:val="00452C24"/>
    <w:rsid w:val="0045698A"/>
    <w:rsid w:val="00460D72"/>
    <w:rsid w:val="004612B6"/>
    <w:rsid w:val="004612BB"/>
    <w:rsid w:val="00464675"/>
    <w:rsid w:val="00473A36"/>
    <w:rsid w:val="00475413"/>
    <w:rsid w:val="00475B49"/>
    <w:rsid w:val="00484A78"/>
    <w:rsid w:val="00487E05"/>
    <w:rsid w:val="00490B64"/>
    <w:rsid w:val="004A2DDB"/>
    <w:rsid w:val="004A4D51"/>
    <w:rsid w:val="004B1B93"/>
    <w:rsid w:val="004B5E38"/>
    <w:rsid w:val="004E11FA"/>
    <w:rsid w:val="004E2097"/>
    <w:rsid w:val="004E5222"/>
    <w:rsid w:val="004E561D"/>
    <w:rsid w:val="004E74BC"/>
    <w:rsid w:val="004F1522"/>
    <w:rsid w:val="004F5BCA"/>
    <w:rsid w:val="00501961"/>
    <w:rsid w:val="00505291"/>
    <w:rsid w:val="00511586"/>
    <w:rsid w:val="00511E4C"/>
    <w:rsid w:val="00512DE9"/>
    <w:rsid w:val="00517481"/>
    <w:rsid w:val="00517EEA"/>
    <w:rsid w:val="00520C2B"/>
    <w:rsid w:val="00523855"/>
    <w:rsid w:val="00523C0C"/>
    <w:rsid w:val="00526E5F"/>
    <w:rsid w:val="00535D2F"/>
    <w:rsid w:val="00536A94"/>
    <w:rsid w:val="00543E20"/>
    <w:rsid w:val="00561565"/>
    <w:rsid w:val="00570EDA"/>
    <w:rsid w:val="00573CB5"/>
    <w:rsid w:val="00574109"/>
    <w:rsid w:val="005813C1"/>
    <w:rsid w:val="00585FF4"/>
    <w:rsid w:val="00590EE3"/>
    <w:rsid w:val="00596FCC"/>
    <w:rsid w:val="00597C39"/>
    <w:rsid w:val="005A40AD"/>
    <w:rsid w:val="005B154D"/>
    <w:rsid w:val="005B3014"/>
    <w:rsid w:val="005B742C"/>
    <w:rsid w:val="005D2DB5"/>
    <w:rsid w:val="005D6EDF"/>
    <w:rsid w:val="005D74DA"/>
    <w:rsid w:val="005D759D"/>
    <w:rsid w:val="005E421D"/>
    <w:rsid w:val="005F0FF8"/>
    <w:rsid w:val="005F5C68"/>
    <w:rsid w:val="00600085"/>
    <w:rsid w:val="00604F7D"/>
    <w:rsid w:val="00606450"/>
    <w:rsid w:val="006130EB"/>
    <w:rsid w:val="0061679C"/>
    <w:rsid w:val="0062605E"/>
    <w:rsid w:val="0062683A"/>
    <w:rsid w:val="00632A4E"/>
    <w:rsid w:val="006403BB"/>
    <w:rsid w:val="0064395F"/>
    <w:rsid w:val="00645A37"/>
    <w:rsid w:val="0064698D"/>
    <w:rsid w:val="0066071E"/>
    <w:rsid w:val="006710A5"/>
    <w:rsid w:val="0067753F"/>
    <w:rsid w:val="006842FE"/>
    <w:rsid w:val="0068611F"/>
    <w:rsid w:val="00690E60"/>
    <w:rsid w:val="00692408"/>
    <w:rsid w:val="00693218"/>
    <w:rsid w:val="00693912"/>
    <w:rsid w:val="00694375"/>
    <w:rsid w:val="006947B8"/>
    <w:rsid w:val="00695BA9"/>
    <w:rsid w:val="006A26A8"/>
    <w:rsid w:val="006A3C53"/>
    <w:rsid w:val="006A4760"/>
    <w:rsid w:val="006A6626"/>
    <w:rsid w:val="006B17CE"/>
    <w:rsid w:val="006B41DD"/>
    <w:rsid w:val="006B662E"/>
    <w:rsid w:val="006C0F50"/>
    <w:rsid w:val="006C1DCB"/>
    <w:rsid w:val="006C2C79"/>
    <w:rsid w:val="006C3365"/>
    <w:rsid w:val="006C3C89"/>
    <w:rsid w:val="006C5183"/>
    <w:rsid w:val="006D65A9"/>
    <w:rsid w:val="006D7B3A"/>
    <w:rsid w:val="006E0009"/>
    <w:rsid w:val="006E657A"/>
    <w:rsid w:val="006F0D38"/>
    <w:rsid w:val="006F3FA6"/>
    <w:rsid w:val="006F5037"/>
    <w:rsid w:val="006F6433"/>
    <w:rsid w:val="00701217"/>
    <w:rsid w:val="00702F6F"/>
    <w:rsid w:val="007050E8"/>
    <w:rsid w:val="00711123"/>
    <w:rsid w:val="00712DD0"/>
    <w:rsid w:val="00712EA2"/>
    <w:rsid w:val="00717D7B"/>
    <w:rsid w:val="00724FEC"/>
    <w:rsid w:val="00727DFC"/>
    <w:rsid w:val="007313CF"/>
    <w:rsid w:val="00733418"/>
    <w:rsid w:val="007372ED"/>
    <w:rsid w:val="007402E7"/>
    <w:rsid w:val="0074208F"/>
    <w:rsid w:val="00742442"/>
    <w:rsid w:val="00746F4C"/>
    <w:rsid w:val="0075124F"/>
    <w:rsid w:val="00752CE1"/>
    <w:rsid w:val="00754D5E"/>
    <w:rsid w:val="007553A0"/>
    <w:rsid w:val="007554C0"/>
    <w:rsid w:val="007613A9"/>
    <w:rsid w:val="00763F49"/>
    <w:rsid w:val="00773761"/>
    <w:rsid w:val="00773D6A"/>
    <w:rsid w:val="00774329"/>
    <w:rsid w:val="00775365"/>
    <w:rsid w:val="00775F53"/>
    <w:rsid w:val="00777A8C"/>
    <w:rsid w:val="00793FFA"/>
    <w:rsid w:val="007A62E3"/>
    <w:rsid w:val="007B04D2"/>
    <w:rsid w:val="007B13C9"/>
    <w:rsid w:val="007B2C22"/>
    <w:rsid w:val="007B6FF0"/>
    <w:rsid w:val="007C2716"/>
    <w:rsid w:val="007C376A"/>
    <w:rsid w:val="007C59EF"/>
    <w:rsid w:val="007D0CB3"/>
    <w:rsid w:val="007D5681"/>
    <w:rsid w:val="007D7831"/>
    <w:rsid w:val="007E3487"/>
    <w:rsid w:val="007E598A"/>
    <w:rsid w:val="007E71E1"/>
    <w:rsid w:val="00801D9D"/>
    <w:rsid w:val="00804C70"/>
    <w:rsid w:val="00806840"/>
    <w:rsid w:val="00815C82"/>
    <w:rsid w:val="00820112"/>
    <w:rsid w:val="00825379"/>
    <w:rsid w:val="00832DB6"/>
    <w:rsid w:val="00833BEC"/>
    <w:rsid w:val="0083722F"/>
    <w:rsid w:val="00847509"/>
    <w:rsid w:val="008519FC"/>
    <w:rsid w:val="0085272A"/>
    <w:rsid w:val="00856172"/>
    <w:rsid w:val="00861063"/>
    <w:rsid w:val="008643CE"/>
    <w:rsid w:val="008669BD"/>
    <w:rsid w:val="00874CA9"/>
    <w:rsid w:val="00876455"/>
    <w:rsid w:val="0089300D"/>
    <w:rsid w:val="00895CED"/>
    <w:rsid w:val="00896523"/>
    <w:rsid w:val="008B0307"/>
    <w:rsid w:val="008B20DB"/>
    <w:rsid w:val="008B220B"/>
    <w:rsid w:val="008B3EE0"/>
    <w:rsid w:val="008B5C0D"/>
    <w:rsid w:val="008B6222"/>
    <w:rsid w:val="008C1D3F"/>
    <w:rsid w:val="008C35CF"/>
    <w:rsid w:val="008C6506"/>
    <w:rsid w:val="008D066B"/>
    <w:rsid w:val="008D3015"/>
    <w:rsid w:val="008D5CB0"/>
    <w:rsid w:val="008E2654"/>
    <w:rsid w:val="008E5431"/>
    <w:rsid w:val="008F50C9"/>
    <w:rsid w:val="008F7D16"/>
    <w:rsid w:val="00903292"/>
    <w:rsid w:val="00905F1E"/>
    <w:rsid w:val="009061E7"/>
    <w:rsid w:val="00907197"/>
    <w:rsid w:val="00913D8C"/>
    <w:rsid w:val="00925CDF"/>
    <w:rsid w:val="00932889"/>
    <w:rsid w:val="0094011E"/>
    <w:rsid w:val="00944B7E"/>
    <w:rsid w:val="00945122"/>
    <w:rsid w:val="00946112"/>
    <w:rsid w:val="00947947"/>
    <w:rsid w:val="009503ED"/>
    <w:rsid w:val="009503F5"/>
    <w:rsid w:val="00951164"/>
    <w:rsid w:val="00951D53"/>
    <w:rsid w:val="00952091"/>
    <w:rsid w:val="00955331"/>
    <w:rsid w:val="0095690F"/>
    <w:rsid w:val="009577AE"/>
    <w:rsid w:val="0096242C"/>
    <w:rsid w:val="009628C7"/>
    <w:rsid w:val="00966C7C"/>
    <w:rsid w:val="00985644"/>
    <w:rsid w:val="0098720C"/>
    <w:rsid w:val="00990750"/>
    <w:rsid w:val="009922C4"/>
    <w:rsid w:val="00992A71"/>
    <w:rsid w:val="009941CD"/>
    <w:rsid w:val="0099791F"/>
    <w:rsid w:val="009A2F57"/>
    <w:rsid w:val="009A4A0A"/>
    <w:rsid w:val="009B482E"/>
    <w:rsid w:val="009B550C"/>
    <w:rsid w:val="009B73ED"/>
    <w:rsid w:val="009C0824"/>
    <w:rsid w:val="009D3A19"/>
    <w:rsid w:val="009D5224"/>
    <w:rsid w:val="009D61D0"/>
    <w:rsid w:val="009F313A"/>
    <w:rsid w:val="009F4A06"/>
    <w:rsid w:val="009F6555"/>
    <w:rsid w:val="00A037B8"/>
    <w:rsid w:val="00A03AEB"/>
    <w:rsid w:val="00A04E55"/>
    <w:rsid w:val="00A07200"/>
    <w:rsid w:val="00A112A7"/>
    <w:rsid w:val="00A23316"/>
    <w:rsid w:val="00A3081F"/>
    <w:rsid w:val="00A31383"/>
    <w:rsid w:val="00A37734"/>
    <w:rsid w:val="00A40C8F"/>
    <w:rsid w:val="00A5184C"/>
    <w:rsid w:val="00A53762"/>
    <w:rsid w:val="00A543E4"/>
    <w:rsid w:val="00A63E3C"/>
    <w:rsid w:val="00A6546C"/>
    <w:rsid w:val="00A717B8"/>
    <w:rsid w:val="00A760F3"/>
    <w:rsid w:val="00A77868"/>
    <w:rsid w:val="00A8100A"/>
    <w:rsid w:val="00A81478"/>
    <w:rsid w:val="00A90EDD"/>
    <w:rsid w:val="00A96E49"/>
    <w:rsid w:val="00AA21F6"/>
    <w:rsid w:val="00AA7482"/>
    <w:rsid w:val="00AC0399"/>
    <w:rsid w:val="00AC1F7B"/>
    <w:rsid w:val="00AC389F"/>
    <w:rsid w:val="00AC52B1"/>
    <w:rsid w:val="00AD1EDF"/>
    <w:rsid w:val="00AF3058"/>
    <w:rsid w:val="00AF3189"/>
    <w:rsid w:val="00AF561F"/>
    <w:rsid w:val="00AF5CAC"/>
    <w:rsid w:val="00AF5D00"/>
    <w:rsid w:val="00B070F9"/>
    <w:rsid w:val="00B07EA9"/>
    <w:rsid w:val="00B141FE"/>
    <w:rsid w:val="00B157B6"/>
    <w:rsid w:val="00B16629"/>
    <w:rsid w:val="00B21047"/>
    <w:rsid w:val="00B21272"/>
    <w:rsid w:val="00B367E3"/>
    <w:rsid w:val="00B41124"/>
    <w:rsid w:val="00B43613"/>
    <w:rsid w:val="00B4543C"/>
    <w:rsid w:val="00B5053B"/>
    <w:rsid w:val="00B52782"/>
    <w:rsid w:val="00B572F4"/>
    <w:rsid w:val="00B65811"/>
    <w:rsid w:val="00B713E4"/>
    <w:rsid w:val="00B8528E"/>
    <w:rsid w:val="00B8770C"/>
    <w:rsid w:val="00B90656"/>
    <w:rsid w:val="00B90AD0"/>
    <w:rsid w:val="00B9334F"/>
    <w:rsid w:val="00B93AE3"/>
    <w:rsid w:val="00B93BE4"/>
    <w:rsid w:val="00B95EDD"/>
    <w:rsid w:val="00B96EB8"/>
    <w:rsid w:val="00BA4A64"/>
    <w:rsid w:val="00BB2976"/>
    <w:rsid w:val="00BB2A19"/>
    <w:rsid w:val="00BC4081"/>
    <w:rsid w:val="00BC5392"/>
    <w:rsid w:val="00BC7D7A"/>
    <w:rsid w:val="00BD0527"/>
    <w:rsid w:val="00BD7A90"/>
    <w:rsid w:val="00BE12FE"/>
    <w:rsid w:val="00BE795C"/>
    <w:rsid w:val="00BE7A67"/>
    <w:rsid w:val="00BF36A6"/>
    <w:rsid w:val="00BF39B0"/>
    <w:rsid w:val="00BF5B54"/>
    <w:rsid w:val="00BF5CD2"/>
    <w:rsid w:val="00C003F2"/>
    <w:rsid w:val="00C03B5D"/>
    <w:rsid w:val="00C03B8F"/>
    <w:rsid w:val="00C04FDF"/>
    <w:rsid w:val="00C06AD3"/>
    <w:rsid w:val="00C07934"/>
    <w:rsid w:val="00C14092"/>
    <w:rsid w:val="00C2174D"/>
    <w:rsid w:val="00C25469"/>
    <w:rsid w:val="00C321BD"/>
    <w:rsid w:val="00C368FD"/>
    <w:rsid w:val="00C422AA"/>
    <w:rsid w:val="00C4417D"/>
    <w:rsid w:val="00C4523F"/>
    <w:rsid w:val="00C45FF7"/>
    <w:rsid w:val="00C540AF"/>
    <w:rsid w:val="00C56FEC"/>
    <w:rsid w:val="00C61949"/>
    <w:rsid w:val="00C61F04"/>
    <w:rsid w:val="00C62878"/>
    <w:rsid w:val="00C80D9B"/>
    <w:rsid w:val="00C80F8C"/>
    <w:rsid w:val="00C91853"/>
    <w:rsid w:val="00C954BA"/>
    <w:rsid w:val="00C95738"/>
    <w:rsid w:val="00CA20B4"/>
    <w:rsid w:val="00CA6165"/>
    <w:rsid w:val="00CA6AE9"/>
    <w:rsid w:val="00CB79E7"/>
    <w:rsid w:val="00CC3EDA"/>
    <w:rsid w:val="00CC535F"/>
    <w:rsid w:val="00CC6109"/>
    <w:rsid w:val="00CD0364"/>
    <w:rsid w:val="00CD1FB3"/>
    <w:rsid w:val="00CD6F0C"/>
    <w:rsid w:val="00CE2A5C"/>
    <w:rsid w:val="00CE5562"/>
    <w:rsid w:val="00CE568D"/>
    <w:rsid w:val="00CE5738"/>
    <w:rsid w:val="00CE7217"/>
    <w:rsid w:val="00CF4484"/>
    <w:rsid w:val="00CF5A3D"/>
    <w:rsid w:val="00CF7264"/>
    <w:rsid w:val="00D01516"/>
    <w:rsid w:val="00D020A6"/>
    <w:rsid w:val="00D04460"/>
    <w:rsid w:val="00D07EA8"/>
    <w:rsid w:val="00D11056"/>
    <w:rsid w:val="00D1589C"/>
    <w:rsid w:val="00D17DAC"/>
    <w:rsid w:val="00D17EA2"/>
    <w:rsid w:val="00D21675"/>
    <w:rsid w:val="00D27E74"/>
    <w:rsid w:val="00D31C3C"/>
    <w:rsid w:val="00D404D3"/>
    <w:rsid w:val="00D4060C"/>
    <w:rsid w:val="00D42147"/>
    <w:rsid w:val="00D44AFD"/>
    <w:rsid w:val="00D44D3C"/>
    <w:rsid w:val="00D4623C"/>
    <w:rsid w:val="00D4761B"/>
    <w:rsid w:val="00D51DA0"/>
    <w:rsid w:val="00D53D5D"/>
    <w:rsid w:val="00D5432E"/>
    <w:rsid w:val="00D54555"/>
    <w:rsid w:val="00D56079"/>
    <w:rsid w:val="00D5763D"/>
    <w:rsid w:val="00D6479C"/>
    <w:rsid w:val="00D678DF"/>
    <w:rsid w:val="00D8007B"/>
    <w:rsid w:val="00D80EBD"/>
    <w:rsid w:val="00D87041"/>
    <w:rsid w:val="00D957EB"/>
    <w:rsid w:val="00DB066E"/>
    <w:rsid w:val="00DB52C4"/>
    <w:rsid w:val="00DB63F3"/>
    <w:rsid w:val="00DB7742"/>
    <w:rsid w:val="00DC308A"/>
    <w:rsid w:val="00DC47F3"/>
    <w:rsid w:val="00DC662C"/>
    <w:rsid w:val="00DD056E"/>
    <w:rsid w:val="00DE086B"/>
    <w:rsid w:val="00DE560C"/>
    <w:rsid w:val="00DE6D0D"/>
    <w:rsid w:val="00DE7D24"/>
    <w:rsid w:val="00DF44EE"/>
    <w:rsid w:val="00E00FB3"/>
    <w:rsid w:val="00E03F68"/>
    <w:rsid w:val="00E0583E"/>
    <w:rsid w:val="00E11EF3"/>
    <w:rsid w:val="00E2112E"/>
    <w:rsid w:val="00E22346"/>
    <w:rsid w:val="00E3381B"/>
    <w:rsid w:val="00E34790"/>
    <w:rsid w:val="00E3783F"/>
    <w:rsid w:val="00E40FD4"/>
    <w:rsid w:val="00E51F94"/>
    <w:rsid w:val="00E53370"/>
    <w:rsid w:val="00E53685"/>
    <w:rsid w:val="00E631A4"/>
    <w:rsid w:val="00E666EC"/>
    <w:rsid w:val="00E71A81"/>
    <w:rsid w:val="00E7534E"/>
    <w:rsid w:val="00E7640F"/>
    <w:rsid w:val="00E77BEA"/>
    <w:rsid w:val="00E800B6"/>
    <w:rsid w:val="00E806C5"/>
    <w:rsid w:val="00E8129D"/>
    <w:rsid w:val="00E95748"/>
    <w:rsid w:val="00E97225"/>
    <w:rsid w:val="00EA2385"/>
    <w:rsid w:val="00EA245D"/>
    <w:rsid w:val="00EA3C5F"/>
    <w:rsid w:val="00EA6300"/>
    <w:rsid w:val="00EA6999"/>
    <w:rsid w:val="00EB0D07"/>
    <w:rsid w:val="00ED07D4"/>
    <w:rsid w:val="00ED0DC7"/>
    <w:rsid w:val="00ED1E07"/>
    <w:rsid w:val="00ED461A"/>
    <w:rsid w:val="00ED46D4"/>
    <w:rsid w:val="00ED5EDC"/>
    <w:rsid w:val="00ED7C86"/>
    <w:rsid w:val="00EE6CBB"/>
    <w:rsid w:val="00EF2091"/>
    <w:rsid w:val="00EF76A4"/>
    <w:rsid w:val="00F05F82"/>
    <w:rsid w:val="00F14CD7"/>
    <w:rsid w:val="00F218C4"/>
    <w:rsid w:val="00F341EE"/>
    <w:rsid w:val="00F37735"/>
    <w:rsid w:val="00F43A31"/>
    <w:rsid w:val="00F443D7"/>
    <w:rsid w:val="00F46F03"/>
    <w:rsid w:val="00F5445C"/>
    <w:rsid w:val="00F548A3"/>
    <w:rsid w:val="00F57D22"/>
    <w:rsid w:val="00F643AF"/>
    <w:rsid w:val="00F672F0"/>
    <w:rsid w:val="00F67D92"/>
    <w:rsid w:val="00F71932"/>
    <w:rsid w:val="00F73DCB"/>
    <w:rsid w:val="00F741DC"/>
    <w:rsid w:val="00F74B30"/>
    <w:rsid w:val="00F75811"/>
    <w:rsid w:val="00F759D8"/>
    <w:rsid w:val="00F82EBA"/>
    <w:rsid w:val="00F859DD"/>
    <w:rsid w:val="00F869FC"/>
    <w:rsid w:val="00F95507"/>
    <w:rsid w:val="00F973ED"/>
    <w:rsid w:val="00FA1EC8"/>
    <w:rsid w:val="00FA20E6"/>
    <w:rsid w:val="00FA49EF"/>
    <w:rsid w:val="00FA6631"/>
    <w:rsid w:val="00FB38AC"/>
    <w:rsid w:val="00FB5DF3"/>
    <w:rsid w:val="00FB7AC8"/>
    <w:rsid w:val="00FC03F3"/>
    <w:rsid w:val="00FC064F"/>
    <w:rsid w:val="00FC0E86"/>
    <w:rsid w:val="00FC2DBE"/>
    <w:rsid w:val="00FD04A4"/>
    <w:rsid w:val="00FD357B"/>
    <w:rsid w:val="00FD5500"/>
    <w:rsid w:val="00FE093C"/>
    <w:rsid w:val="00FE2350"/>
    <w:rsid w:val="00FE3D12"/>
    <w:rsid w:val="00FE5D73"/>
    <w:rsid w:val="00FE678D"/>
    <w:rsid w:val="00FE7ED8"/>
    <w:rsid w:val="00FF08DC"/>
    <w:rsid w:val="00FF14FB"/>
    <w:rsid w:val="00FF48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16B214"/>
  <w15:chartTrackingRefBased/>
  <w15:docId w15:val="{C90BD514-C6B3-436E-A504-A47A8C704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7753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7753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7753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7753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7753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7753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7753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7753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7753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753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7753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7753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7753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7753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7753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7753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7753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7753F"/>
    <w:rPr>
      <w:rFonts w:eastAsiaTheme="majorEastAsia" w:cstheme="majorBidi"/>
      <w:color w:val="272727" w:themeColor="text1" w:themeTint="D8"/>
    </w:rPr>
  </w:style>
  <w:style w:type="paragraph" w:styleId="Title">
    <w:name w:val="Title"/>
    <w:basedOn w:val="Normal"/>
    <w:next w:val="Normal"/>
    <w:link w:val="TitleChar"/>
    <w:uiPriority w:val="10"/>
    <w:qFormat/>
    <w:rsid w:val="0067753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753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7753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7753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7753F"/>
    <w:pPr>
      <w:spacing w:before="160"/>
      <w:jc w:val="center"/>
    </w:pPr>
    <w:rPr>
      <w:i/>
      <w:iCs/>
      <w:color w:val="404040" w:themeColor="text1" w:themeTint="BF"/>
    </w:rPr>
  </w:style>
  <w:style w:type="character" w:customStyle="1" w:styleId="QuoteChar">
    <w:name w:val="Quote Char"/>
    <w:basedOn w:val="DefaultParagraphFont"/>
    <w:link w:val="Quote"/>
    <w:uiPriority w:val="29"/>
    <w:rsid w:val="0067753F"/>
    <w:rPr>
      <w:i/>
      <w:iCs/>
      <w:color w:val="404040" w:themeColor="text1" w:themeTint="BF"/>
    </w:rPr>
  </w:style>
  <w:style w:type="paragraph" w:styleId="ListParagraph">
    <w:name w:val="List Paragraph"/>
    <w:aliases w:val="Numbered Para 1,Dot pt,No Spacing1,List Paragraph Char Char Char,Indicator Text,List Paragraph1,Bullet Points,MAIN CONTENT,F5 List Paragraph,List Paragraph12,Colorful List - Accent 11,Normal numbered,OBC Bullet,List Paragraph2,L,Bullet 1"/>
    <w:basedOn w:val="Normal"/>
    <w:link w:val="ListParagraphChar"/>
    <w:uiPriority w:val="34"/>
    <w:qFormat/>
    <w:rsid w:val="0067753F"/>
    <w:pPr>
      <w:ind w:left="720"/>
      <w:contextualSpacing/>
    </w:pPr>
  </w:style>
  <w:style w:type="character" w:styleId="IntenseEmphasis">
    <w:name w:val="Intense Emphasis"/>
    <w:basedOn w:val="DefaultParagraphFont"/>
    <w:uiPriority w:val="21"/>
    <w:qFormat/>
    <w:rsid w:val="0067753F"/>
    <w:rPr>
      <w:i/>
      <w:iCs/>
      <w:color w:val="0F4761" w:themeColor="accent1" w:themeShade="BF"/>
    </w:rPr>
  </w:style>
  <w:style w:type="paragraph" w:styleId="IntenseQuote">
    <w:name w:val="Intense Quote"/>
    <w:basedOn w:val="Normal"/>
    <w:next w:val="Normal"/>
    <w:link w:val="IntenseQuoteChar"/>
    <w:uiPriority w:val="30"/>
    <w:qFormat/>
    <w:rsid w:val="0067753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7753F"/>
    <w:rPr>
      <w:i/>
      <w:iCs/>
      <w:color w:val="0F4761" w:themeColor="accent1" w:themeShade="BF"/>
    </w:rPr>
  </w:style>
  <w:style w:type="character" w:styleId="IntenseReference">
    <w:name w:val="Intense Reference"/>
    <w:basedOn w:val="DefaultParagraphFont"/>
    <w:uiPriority w:val="32"/>
    <w:qFormat/>
    <w:rsid w:val="0067753F"/>
    <w:rPr>
      <w:b/>
      <w:bCs/>
      <w:smallCaps/>
      <w:color w:val="0F4761" w:themeColor="accent1" w:themeShade="BF"/>
      <w:spacing w:val="5"/>
    </w:rPr>
  </w:style>
  <w:style w:type="table" w:styleId="TableGrid">
    <w:name w:val="Table Grid"/>
    <w:basedOn w:val="TableNormal"/>
    <w:uiPriority w:val="59"/>
    <w:rsid w:val="00026534"/>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26534"/>
    <w:rPr>
      <w:b/>
      <w:bCs/>
    </w:rPr>
  </w:style>
  <w:style w:type="character" w:customStyle="1" w:styleId="ListParagraphChar">
    <w:name w:val="List Paragraph Char"/>
    <w:aliases w:val="Numbered Para 1 Char,Dot pt Char,No Spacing1 Char,List Paragraph Char Char Char Char,Indicator Text Char,List Paragraph1 Char,Bullet Points Char,MAIN CONTENT Char,F5 List Paragraph Char,List Paragraph12 Char,Normal numbered Char"/>
    <w:basedOn w:val="DefaultParagraphFont"/>
    <w:link w:val="ListParagraph"/>
    <w:uiPriority w:val="34"/>
    <w:qFormat/>
    <w:locked/>
    <w:rsid w:val="00026534"/>
  </w:style>
  <w:style w:type="table" w:styleId="PlainTable2">
    <w:name w:val="Plain Table 2"/>
    <w:basedOn w:val="TableNormal"/>
    <w:uiPriority w:val="42"/>
    <w:rsid w:val="00026534"/>
    <w:pPr>
      <w:spacing w:after="0" w:line="240" w:lineRule="auto"/>
    </w:pPr>
    <w:rPr>
      <w:kern w:val="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er">
    <w:name w:val="footer"/>
    <w:basedOn w:val="Normal"/>
    <w:link w:val="FooterChar"/>
    <w:uiPriority w:val="99"/>
    <w:unhideWhenUsed/>
    <w:rsid w:val="00026534"/>
    <w:pPr>
      <w:tabs>
        <w:tab w:val="center" w:pos="4513"/>
        <w:tab w:val="right" w:pos="9026"/>
      </w:tabs>
      <w:spacing w:after="0" w:line="240" w:lineRule="auto"/>
    </w:pPr>
    <w:rPr>
      <w:kern w:val="0"/>
    </w:rPr>
  </w:style>
  <w:style w:type="character" w:customStyle="1" w:styleId="FooterChar">
    <w:name w:val="Footer Char"/>
    <w:basedOn w:val="DefaultParagraphFont"/>
    <w:link w:val="Footer"/>
    <w:uiPriority w:val="99"/>
    <w:rsid w:val="00026534"/>
    <w:rPr>
      <w:kern w:val="0"/>
    </w:rPr>
  </w:style>
  <w:style w:type="table" w:styleId="TableGridLight">
    <w:name w:val="Grid Table Light"/>
    <w:basedOn w:val="TableNormal"/>
    <w:uiPriority w:val="40"/>
    <w:rsid w:val="00763F4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5Dark-Accent1">
    <w:name w:val="List Table 5 Dark Accent 1"/>
    <w:basedOn w:val="TableNormal"/>
    <w:uiPriority w:val="50"/>
    <w:rsid w:val="00763F49"/>
    <w:pPr>
      <w:spacing w:after="0" w:line="240" w:lineRule="auto"/>
    </w:pPr>
    <w:rPr>
      <w:color w:val="FFFFFF" w:themeColor="background1"/>
    </w:rPr>
    <w:tblPr>
      <w:tblStyleRowBandSize w:val="1"/>
      <w:tblStyleColBandSize w:val="1"/>
      <w:tblBorders>
        <w:top w:val="single" w:sz="24" w:space="0" w:color="156082" w:themeColor="accent1"/>
        <w:left w:val="single" w:sz="24" w:space="0" w:color="156082" w:themeColor="accent1"/>
        <w:bottom w:val="single" w:sz="24" w:space="0" w:color="156082" w:themeColor="accent1"/>
        <w:right w:val="single" w:sz="24" w:space="0" w:color="156082" w:themeColor="accent1"/>
      </w:tblBorders>
    </w:tblPr>
    <w:tcPr>
      <w:shd w:val="clear" w:color="auto" w:fill="15608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53762"/>
    <w:pPr>
      <w:spacing w:after="0" w:line="240" w:lineRule="auto"/>
    </w:pPr>
    <w:rPr>
      <w:color w:val="FFFFFF" w:themeColor="background1"/>
    </w:rPr>
    <w:tblPr>
      <w:tblStyleRowBandSize w:val="1"/>
      <w:tblStyleColBandSize w:val="1"/>
      <w:tblBorders>
        <w:top w:val="single" w:sz="24" w:space="0" w:color="E97132" w:themeColor="accent2"/>
        <w:left w:val="single" w:sz="24" w:space="0" w:color="E97132" w:themeColor="accent2"/>
        <w:bottom w:val="single" w:sz="24" w:space="0" w:color="E97132" w:themeColor="accent2"/>
        <w:right w:val="single" w:sz="24" w:space="0" w:color="E97132" w:themeColor="accent2"/>
      </w:tblBorders>
    </w:tblPr>
    <w:tcPr>
      <w:shd w:val="clear" w:color="auto" w:fill="E9713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styleId="Hyperlink">
    <w:name w:val="Hyperlink"/>
    <w:basedOn w:val="DefaultParagraphFont"/>
    <w:uiPriority w:val="99"/>
    <w:unhideWhenUsed/>
    <w:rsid w:val="00E77BEA"/>
    <w:rPr>
      <w:color w:val="467886" w:themeColor="hyperlink"/>
      <w:u w:val="single"/>
    </w:rPr>
  </w:style>
  <w:style w:type="character" w:styleId="UnresolvedMention">
    <w:name w:val="Unresolved Mention"/>
    <w:basedOn w:val="DefaultParagraphFont"/>
    <w:uiPriority w:val="99"/>
    <w:semiHidden/>
    <w:unhideWhenUsed/>
    <w:rsid w:val="00E77BEA"/>
    <w:rPr>
      <w:color w:val="605E5C"/>
      <w:shd w:val="clear" w:color="auto" w:fill="E1DFDD"/>
    </w:rPr>
  </w:style>
  <w:style w:type="paragraph" w:styleId="NormalWeb">
    <w:name w:val="Normal (Web)"/>
    <w:basedOn w:val="Normal"/>
    <w:uiPriority w:val="99"/>
    <w:semiHidden/>
    <w:unhideWhenUsed/>
    <w:rsid w:val="00B5053B"/>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Header">
    <w:name w:val="header"/>
    <w:basedOn w:val="Normal"/>
    <w:link w:val="HeaderChar"/>
    <w:uiPriority w:val="99"/>
    <w:unhideWhenUsed/>
    <w:rsid w:val="00815C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15C82"/>
  </w:style>
  <w:style w:type="paragraph" w:styleId="FootnoteText">
    <w:name w:val="footnote text"/>
    <w:basedOn w:val="Normal"/>
    <w:link w:val="FootnoteTextChar"/>
    <w:uiPriority w:val="99"/>
    <w:semiHidden/>
    <w:unhideWhenUsed/>
    <w:rsid w:val="00815C8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15C82"/>
    <w:rPr>
      <w:sz w:val="20"/>
      <w:szCs w:val="20"/>
    </w:rPr>
  </w:style>
  <w:style w:type="character" w:styleId="FootnoteReference">
    <w:name w:val="footnote reference"/>
    <w:basedOn w:val="DefaultParagraphFont"/>
    <w:uiPriority w:val="99"/>
    <w:semiHidden/>
    <w:unhideWhenUsed/>
    <w:rsid w:val="00815C82"/>
    <w:rPr>
      <w:vertAlign w:val="superscript"/>
    </w:rPr>
  </w:style>
  <w:style w:type="character" w:styleId="Emphasis">
    <w:name w:val="Emphasis"/>
    <w:basedOn w:val="DefaultParagraphFont"/>
    <w:uiPriority w:val="20"/>
    <w:qFormat/>
    <w:rsid w:val="00460D7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377540">
      <w:bodyDiv w:val="1"/>
      <w:marLeft w:val="0"/>
      <w:marRight w:val="0"/>
      <w:marTop w:val="0"/>
      <w:marBottom w:val="0"/>
      <w:divBdr>
        <w:top w:val="none" w:sz="0" w:space="0" w:color="auto"/>
        <w:left w:val="none" w:sz="0" w:space="0" w:color="auto"/>
        <w:bottom w:val="none" w:sz="0" w:space="0" w:color="auto"/>
        <w:right w:val="none" w:sz="0" w:space="0" w:color="auto"/>
      </w:divBdr>
    </w:div>
    <w:div w:id="153690200">
      <w:bodyDiv w:val="1"/>
      <w:marLeft w:val="0"/>
      <w:marRight w:val="0"/>
      <w:marTop w:val="0"/>
      <w:marBottom w:val="0"/>
      <w:divBdr>
        <w:top w:val="none" w:sz="0" w:space="0" w:color="auto"/>
        <w:left w:val="none" w:sz="0" w:space="0" w:color="auto"/>
        <w:bottom w:val="none" w:sz="0" w:space="0" w:color="auto"/>
        <w:right w:val="none" w:sz="0" w:space="0" w:color="auto"/>
      </w:divBdr>
      <w:divsChild>
        <w:div w:id="1227036317">
          <w:marLeft w:val="0"/>
          <w:marRight w:val="0"/>
          <w:marTop w:val="0"/>
          <w:marBottom w:val="0"/>
          <w:divBdr>
            <w:top w:val="none" w:sz="0" w:space="0" w:color="auto"/>
            <w:left w:val="none" w:sz="0" w:space="0" w:color="auto"/>
            <w:bottom w:val="none" w:sz="0" w:space="0" w:color="auto"/>
            <w:right w:val="none" w:sz="0" w:space="0" w:color="auto"/>
          </w:divBdr>
        </w:div>
      </w:divsChild>
    </w:div>
    <w:div w:id="205222585">
      <w:bodyDiv w:val="1"/>
      <w:marLeft w:val="0"/>
      <w:marRight w:val="0"/>
      <w:marTop w:val="0"/>
      <w:marBottom w:val="0"/>
      <w:divBdr>
        <w:top w:val="none" w:sz="0" w:space="0" w:color="auto"/>
        <w:left w:val="none" w:sz="0" w:space="0" w:color="auto"/>
        <w:bottom w:val="none" w:sz="0" w:space="0" w:color="auto"/>
        <w:right w:val="none" w:sz="0" w:space="0" w:color="auto"/>
      </w:divBdr>
    </w:div>
    <w:div w:id="375743427">
      <w:bodyDiv w:val="1"/>
      <w:marLeft w:val="0"/>
      <w:marRight w:val="0"/>
      <w:marTop w:val="0"/>
      <w:marBottom w:val="0"/>
      <w:divBdr>
        <w:top w:val="none" w:sz="0" w:space="0" w:color="auto"/>
        <w:left w:val="none" w:sz="0" w:space="0" w:color="auto"/>
        <w:bottom w:val="none" w:sz="0" w:space="0" w:color="auto"/>
        <w:right w:val="none" w:sz="0" w:space="0" w:color="auto"/>
      </w:divBdr>
    </w:div>
    <w:div w:id="450787415">
      <w:bodyDiv w:val="1"/>
      <w:marLeft w:val="0"/>
      <w:marRight w:val="0"/>
      <w:marTop w:val="0"/>
      <w:marBottom w:val="0"/>
      <w:divBdr>
        <w:top w:val="none" w:sz="0" w:space="0" w:color="auto"/>
        <w:left w:val="none" w:sz="0" w:space="0" w:color="auto"/>
        <w:bottom w:val="none" w:sz="0" w:space="0" w:color="auto"/>
        <w:right w:val="none" w:sz="0" w:space="0" w:color="auto"/>
      </w:divBdr>
    </w:div>
    <w:div w:id="1005060152">
      <w:bodyDiv w:val="1"/>
      <w:marLeft w:val="0"/>
      <w:marRight w:val="0"/>
      <w:marTop w:val="0"/>
      <w:marBottom w:val="0"/>
      <w:divBdr>
        <w:top w:val="none" w:sz="0" w:space="0" w:color="auto"/>
        <w:left w:val="none" w:sz="0" w:space="0" w:color="auto"/>
        <w:bottom w:val="none" w:sz="0" w:space="0" w:color="auto"/>
        <w:right w:val="none" w:sz="0" w:space="0" w:color="auto"/>
      </w:divBdr>
      <w:divsChild>
        <w:div w:id="1004043674">
          <w:marLeft w:val="0"/>
          <w:marRight w:val="0"/>
          <w:marTop w:val="0"/>
          <w:marBottom w:val="0"/>
          <w:divBdr>
            <w:top w:val="none" w:sz="0" w:space="0" w:color="auto"/>
            <w:left w:val="none" w:sz="0" w:space="0" w:color="auto"/>
            <w:bottom w:val="none" w:sz="0" w:space="0" w:color="auto"/>
            <w:right w:val="none" w:sz="0" w:space="0" w:color="auto"/>
          </w:divBdr>
        </w:div>
      </w:divsChild>
    </w:div>
    <w:div w:id="1248462466">
      <w:bodyDiv w:val="1"/>
      <w:marLeft w:val="0"/>
      <w:marRight w:val="0"/>
      <w:marTop w:val="0"/>
      <w:marBottom w:val="0"/>
      <w:divBdr>
        <w:top w:val="none" w:sz="0" w:space="0" w:color="auto"/>
        <w:left w:val="none" w:sz="0" w:space="0" w:color="auto"/>
        <w:bottom w:val="none" w:sz="0" w:space="0" w:color="auto"/>
        <w:right w:val="none" w:sz="0" w:space="0" w:color="auto"/>
      </w:divBdr>
      <w:divsChild>
        <w:div w:id="696320092">
          <w:marLeft w:val="547"/>
          <w:marRight w:val="0"/>
          <w:marTop w:val="0"/>
          <w:marBottom w:val="0"/>
          <w:divBdr>
            <w:top w:val="none" w:sz="0" w:space="0" w:color="auto"/>
            <w:left w:val="none" w:sz="0" w:space="0" w:color="auto"/>
            <w:bottom w:val="none" w:sz="0" w:space="0" w:color="auto"/>
            <w:right w:val="none" w:sz="0" w:space="0" w:color="auto"/>
          </w:divBdr>
        </w:div>
      </w:divsChild>
    </w:div>
    <w:div w:id="1298300805">
      <w:bodyDiv w:val="1"/>
      <w:marLeft w:val="0"/>
      <w:marRight w:val="0"/>
      <w:marTop w:val="0"/>
      <w:marBottom w:val="0"/>
      <w:divBdr>
        <w:top w:val="none" w:sz="0" w:space="0" w:color="auto"/>
        <w:left w:val="none" w:sz="0" w:space="0" w:color="auto"/>
        <w:bottom w:val="none" w:sz="0" w:space="0" w:color="auto"/>
        <w:right w:val="none" w:sz="0" w:space="0" w:color="auto"/>
      </w:divBdr>
      <w:divsChild>
        <w:div w:id="1259295258">
          <w:marLeft w:val="0"/>
          <w:marRight w:val="0"/>
          <w:marTop w:val="0"/>
          <w:marBottom w:val="0"/>
          <w:divBdr>
            <w:top w:val="none" w:sz="0" w:space="0" w:color="auto"/>
            <w:left w:val="none" w:sz="0" w:space="0" w:color="auto"/>
            <w:bottom w:val="none" w:sz="0" w:space="0" w:color="auto"/>
            <w:right w:val="none" w:sz="0" w:space="0" w:color="auto"/>
          </w:divBdr>
        </w:div>
      </w:divsChild>
    </w:div>
    <w:div w:id="1631395393">
      <w:bodyDiv w:val="1"/>
      <w:marLeft w:val="0"/>
      <w:marRight w:val="0"/>
      <w:marTop w:val="0"/>
      <w:marBottom w:val="0"/>
      <w:divBdr>
        <w:top w:val="none" w:sz="0" w:space="0" w:color="auto"/>
        <w:left w:val="none" w:sz="0" w:space="0" w:color="auto"/>
        <w:bottom w:val="none" w:sz="0" w:space="0" w:color="auto"/>
        <w:right w:val="none" w:sz="0" w:space="0" w:color="auto"/>
      </w:divBdr>
    </w:div>
    <w:div w:id="1759672573">
      <w:bodyDiv w:val="1"/>
      <w:marLeft w:val="0"/>
      <w:marRight w:val="0"/>
      <w:marTop w:val="0"/>
      <w:marBottom w:val="0"/>
      <w:divBdr>
        <w:top w:val="none" w:sz="0" w:space="0" w:color="auto"/>
        <w:left w:val="none" w:sz="0" w:space="0" w:color="auto"/>
        <w:bottom w:val="none" w:sz="0" w:space="0" w:color="auto"/>
        <w:right w:val="none" w:sz="0" w:space="0" w:color="auto"/>
      </w:divBdr>
      <w:divsChild>
        <w:div w:id="1143236571">
          <w:marLeft w:val="0"/>
          <w:marRight w:val="0"/>
          <w:marTop w:val="0"/>
          <w:marBottom w:val="0"/>
          <w:divBdr>
            <w:top w:val="none" w:sz="0" w:space="0" w:color="auto"/>
            <w:left w:val="none" w:sz="0" w:space="0" w:color="auto"/>
            <w:bottom w:val="none" w:sz="0" w:space="0" w:color="auto"/>
            <w:right w:val="none" w:sz="0" w:space="0" w:color="auto"/>
          </w:divBdr>
        </w:div>
      </w:divsChild>
    </w:div>
    <w:div w:id="2094819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customXml" Target="../customXml/item3.xml"/><Relationship Id="rId10" Type="http://schemas.openxmlformats.org/officeDocument/2006/relationships/diagramData" Target="diagrams/data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microsoft.com/office/2007/relationships/diagramDrawing" Target="diagrams/drawing1.xml"/><Relationship Id="rId22" Type="http://schemas.openxmlformats.org/officeDocument/2006/relationships/customXml" Target="../customXml/item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397EB7-3136-4F91-AADE-B06D79560B2E}"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GB"/>
        </a:p>
      </dgm:t>
    </dgm:pt>
    <dgm:pt modelId="{5998B5D1-0BC6-40D1-817D-A362D7382EF0}">
      <dgm:prSet phldrT="[Text]" custT="1"/>
      <dgm:spPr/>
      <dgm:t>
        <a:bodyPr/>
        <a:lstStyle/>
        <a:p>
          <a:pPr algn="ctr"/>
          <a:r>
            <a:rPr lang="en-GB" sz="1400" b="1"/>
            <a:t>Links to STW                            Strategic Priorites</a:t>
          </a:r>
        </a:p>
      </dgm:t>
    </dgm:pt>
    <dgm:pt modelId="{B1195DFC-D36B-4681-BEC6-7F65DB5D9768}" type="parTrans" cxnId="{B5976847-8686-4BA8-8350-235AAA364CE5}">
      <dgm:prSet/>
      <dgm:spPr/>
      <dgm:t>
        <a:bodyPr/>
        <a:lstStyle/>
        <a:p>
          <a:pPr algn="l"/>
          <a:endParaRPr lang="en-GB"/>
        </a:p>
      </dgm:t>
    </dgm:pt>
    <dgm:pt modelId="{91754C91-114C-493F-988C-4439F9E4743D}" type="sibTrans" cxnId="{B5976847-8686-4BA8-8350-235AAA364CE5}">
      <dgm:prSet/>
      <dgm:spPr/>
      <dgm:t>
        <a:bodyPr/>
        <a:lstStyle/>
        <a:p>
          <a:pPr algn="l"/>
          <a:endParaRPr lang="en-GB"/>
        </a:p>
      </dgm:t>
    </dgm:pt>
    <dgm:pt modelId="{20DBBAF4-7A24-476F-B5C9-D59455C81F55}">
      <dgm:prSet phldrT="[Text]" custT="1"/>
      <dgm:spPr/>
      <dgm:t>
        <a:bodyPr/>
        <a:lstStyle/>
        <a:p>
          <a:pPr algn="l"/>
          <a:r>
            <a:rPr lang="en-GB" sz="1050"/>
            <a:t>NHS Long Term Plan </a:t>
          </a:r>
        </a:p>
      </dgm:t>
    </dgm:pt>
    <dgm:pt modelId="{CDA987D8-4830-4DEE-9EEA-E45B973220F4}" type="parTrans" cxnId="{1F793A0B-8E15-46AD-B5A0-02864F835B62}">
      <dgm:prSet/>
      <dgm:spPr/>
      <dgm:t>
        <a:bodyPr/>
        <a:lstStyle/>
        <a:p>
          <a:pPr algn="l"/>
          <a:endParaRPr lang="en-GB"/>
        </a:p>
      </dgm:t>
    </dgm:pt>
    <dgm:pt modelId="{1848ACCD-6BD4-456D-A3D1-660771C98EB4}" type="sibTrans" cxnId="{1F793A0B-8E15-46AD-B5A0-02864F835B62}">
      <dgm:prSet/>
      <dgm:spPr/>
      <dgm:t>
        <a:bodyPr/>
        <a:lstStyle/>
        <a:p>
          <a:pPr algn="l"/>
          <a:endParaRPr lang="en-GB"/>
        </a:p>
      </dgm:t>
    </dgm:pt>
    <dgm:pt modelId="{6DEAC773-F575-4708-9215-FA4AF504A37C}">
      <dgm:prSet phldrT="[Text]" custT="1"/>
      <dgm:spPr/>
      <dgm:t>
        <a:bodyPr/>
        <a:lstStyle/>
        <a:p>
          <a:pPr algn="l"/>
          <a:endParaRPr lang="en-GB" sz="400"/>
        </a:p>
      </dgm:t>
    </dgm:pt>
    <dgm:pt modelId="{1054FDAA-FA9B-4C16-A2BB-719D23B0C8C5}" type="parTrans" cxnId="{E838B5C2-EABF-4609-8A78-6BD912E70396}">
      <dgm:prSet/>
      <dgm:spPr/>
      <dgm:t>
        <a:bodyPr/>
        <a:lstStyle/>
        <a:p>
          <a:pPr algn="l"/>
          <a:endParaRPr lang="en-GB"/>
        </a:p>
      </dgm:t>
    </dgm:pt>
    <dgm:pt modelId="{B09FC228-599D-4C46-9525-901FC12F43E8}" type="sibTrans" cxnId="{E838B5C2-EABF-4609-8A78-6BD912E70396}">
      <dgm:prSet/>
      <dgm:spPr/>
      <dgm:t>
        <a:bodyPr/>
        <a:lstStyle/>
        <a:p>
          <a:pPr algn="l"/>
          <a:endParaRPr lang="en-GB"/>
        </a:p>
      </dgm:t>
    </dgm:pt>
    <dgm:pt modelId="{BFD0DBFE-4B34-46D4-93FD-F22377A0768D}">
      <dgm:prSet phldrT="[Text]" custT="1"/>
      <dgm:spPr/>
      <dgm:t>
        <a:bodyPr/>
        <a:lstStyle/>
        <a:p>
          <a:pPr algn="l"/>
          <a:r>
            <a:rPr lang="en-GB" sz="1050"/>
            <a:t>Telford and Wrekin HWB Strategy</a:t>
          </a:r>
        </a:p>
      </dgm:t>
    </dgm:pt>
    <dgm:pt modelId="{7E1345EA-D927-4079-B4B3-269703095172}" type="parTrans" cxnId="{BD4D460D-45D6-45C4-9C85-CBF9AD8F1705}">
      <dgm:prSet/>
      <dgm:spPr/>
      <dgm:t>
        <a:bodyPr/>
        <a:lstStyle/>
        <a:p>
          <a:pPr algn="l"/>
          <a:endParaRPr lang="en-GB"/>
        </a:p>
      </dgm:t>
    </dgm:pt>
    <dgm:pt modelId="{E1136646-D8F5-4D04-B812-2C22D418148C}" type="sibTrans" cxnId="{BD4D460D-45D6-45C4-9C85-CBF9AD8F1705}">
      <dgm:prSet/>
      <dgm:spPr/>
      <dgm:t>
        <a:bodyPr/>
        <a:lstStyle/>
        <a:p>
          <a:pPr algn="l"/>
          <a:endParaRPr lang="en-GB"/>
        </a:p>
      </dgm:t>
    </dgm:pt>
    <dgm:pt modelId="{4173E84F-7924-40B1-9178-8732DF9F072E}">
      <dgm:prSet phldrT="[Text]" custT="1"/>
      <dgm:spPr/>
      <dgm:t>
        <a:bodyPr/>
        <a:lstStyle/>
        <a:p>
          <a:pPr algn="l"/>
          <a:r>
            <a:rPr lang="en-GB" sz="1050"/>
            <a:t>T&amp;W Ageing Well Strategy</a:t>
          </a:r>
        </a:p>
      </dgm:t>
    </dgm:pt>
    <dgm:pt modelId="{21948B3A-C182-4411-89FC-C0F44C15CC75}" type="parTrans" cxnId="{B09D9EC0-95A1-4852-8B6A-19F598961B0A}">
      <dgm:prSet/>
      <dgm:spPr/>
      <dgm:t>
        <a:bodyPr/>
        <a:lstStyle/>
        <a:p>
          <a:pPr algn="l"/>
          <a:endParaRPr lang="en-GB"/>
        </a:p>
      </dgm:t>
    </dgm:pt>
    <dgm:pt modelId="{DCF6871B-92E1-487A-B864-4914DABC08EF}" type="sibTrans" cxnId="{B09D9EC0-95A1-4852-8B6A-19F598961B0A}">
      <dgm:prSet/>
      <dgm:spPr/>
      <dgm:t>
        <a:bodyPr/>
        <a:lstStyle/>
        <a:p>
          <a:pPr algn="l"/>
          <a:endParaRPr lang="en-GB"/>
        </a:p>
      </dgm:t>
    </dgm:pt>
    <dgm:pt modelId="{DC75F08E-C116-46D4-A237-0F59A6DA736D}">
      <dgm:prSet phldrT="[Text]" custT="1"/>
      <dgm:spPr/>
      <dgm:t>
        <a:bodyPr/>
        <a:lstStyle/>
        <a:p>
          <a:pPr algn="l"/>
          <a:r>
            <a:rPr lang="en-GB" sz="1050"/>
            <a:t>TWIPP Priorities </a:t>
          </a:r>
        </a:p>
      </dgm:t>
    </dgm:pt>
    <dgm:pt modelId="{8A836049-76DB-49BE-B84F-2273FD01018E}" type="parTrans" cxnId="{3C453003-AD04-40D0-8216-DFA145C30523}">
      <dgm:prSet/>
      <dgm:spPr/>
      <dgm:t>
        <a:bodyPr/>
        <a:lstStyle/>
        <a:p>
          <a:pPr algn="l"/>
          <a:endParaRPr lang="en-GB"/>
        </a:p>
      </dgm:t>
    </dgm:pt>
    <dgm:pt modelId="{99ACEDEC-43A6-4066-A34E-1D3294E5B797}" type="sibTrans" cxnId="{3C453003-AD04-40D0-8216-DFA145C30523}">
      <dgm:prSet/>
      <dgm:spPr/>
      <dgm:t>
        <a:bodyPr/>
        <a:lstStyle/>
        <a:p>
          <a:pPr algn="l"/>
          <a:endParaRPr lang="en-GB"/>
        </a:p>
      </dgm:t>
    </dgm:pt>
    <dgm:pt modelId="{4F1DB4DF-CD2C-42B6-8F98-FCB27465DB51}">
      <dgm:prSet phldrT="[Text]" custT="1"/>
      <dgm:spPr/>
      <dgm:t>
        <a:bodyPr/>
        <a:lstStyle/>
        <a:p>
          <a:pPr algn="l"/>
          <a:endParaRPr lang="en-GB" sz="400"/>
        </a:p>
      </dgm:t>
    </dgm:pt>
    <dgm:pt modelId="{DCDD799F-BF32-4193-AAEE-E47E2BCAEFC0}" type="parTrans" cxnId="{0DAA8D08-56DB-4F34-87BE-B2542AD26578}">
      <dgm:prSet/>
      <dgm:spPr/>
      <dgm:t>
        <a:bodyPr/>
        <a:lstStyle/>
        <a:p>
          <a:pPr algn="l"/>
          <a:endParaRPr lang="en-GB"/>
        </a:p>
      </dgm:t>
    </dgm:pt>
    <dgm:pt modelId="{0D29324D-F619-4B10-BB8C-A49DC3AF3501}" type="sibTrans" cxnId="{0DAA8D08-56DB-4F34-87BE-B2542AD26578}">
      <dgm:prSet/>
      <dgm:spPr/>
      <dgm:t>
        <a:bodyPr/>
        <a:lstStyle/>
        <a:p>
          <a:pPr algn="l"/>
          <a:endParaRPr lang="en-GB"/>
        </a:p>
      </dgm:t>
    </dgm:pt>
    <dgm:pt modelId="{4A36C560-3B2B-4747-8C50-BD8BAB48A505}">
      <dgm:prSet phldrT="[Text]" custT="1"/>
      <dgm:spPr/>
      <dgm:t>
        <a:bodyPr/>
        <a:lstStyle/>
        <a:p>
          <a:pPr algn="l"/>
          <a:r>
            <a:rPr lang="en-GB" sz="1050"/>
            <a:t>Shropshire HWBB priorities </a:t>
          </a:r>
        </a:p>
      </dgm:t>
    </dgm:pt>
    <dgm:pt modelId="{FD217847-78BF-4092-AB53-1B0F77B196C0}" type="parTrans" cxnId="{D9F6D088-22AC-4794-84B4-27FA5D999001}">
      <dgm:prSet/>
      <dgm:spPr/>
      <dgm:t>
        <a:bodyPr/>
        <a:lstStyle/>
        <a:p>
          <a:pPr algn="l"/>
          <a:endParaRPr lang="en-GB"/>
        </a:p>
      </dgm:t>
    </dgm:pt>
    <dgm:pt modelId="{67FBE634-2461-4FFA-9BEE-7FB72B43B57C}" type="sibTrans" cxnId="{D9F6D088-22AC-4794-84B4-27FA5D999001}">
      <dgm:prSet/>
      <dgm:spPr/>
      <dgm:t>
        <a:bodyPr/>
        <a:lstStyle/>
        <a:p>
          <a:pPr algn="l"/>
          <a:endParaRPr lang="en-GB"/>
        </a:p>
      </dgm:t>
    </dgm:pt>
    <dgm:pt modelId="{D1C40D95-4C6D-493C-AAEA-01A68DA159A4}">
      <dgm:prSet phldrT="[Text]" custT="1"/>
      <dgm:spPr/>
      <dgm:t>
        <a:bodyPr/>
        <a:lstStyle/>
        <a:p>
          <a:pPr algn="l"/>
          <a:r>
            <a:rPr lang="en-GB" sz="1050"/>
            <a:t>Shropshire Plan</a:t>
          </a:r>
        </a:p>
      </dgm:t>
    </dgm:pt>
    <dgm:pt modelId="{25A988FA-6556-47A3-9568-D7EBD3939D44}" type="parTrans" cxnId="{12CCEF52-4E77-45AE-905E-9D006632A7AF}">
      <dgm:prSet/>
      <dgm:spPr/>
      <dgm:t>
        <a:bodyPr/>
        <a:lstStyle/>
        <a:p>
          <a:pPr algn="l"/>
          <a:endParaRPr lang="en-GB"/>
        </a:p>
      </dgm:t>
    </dgm:pt>
    <dgm:pt modelId="{827BF1D9-B329-46B6-92D9-1D903F618C87}" type="sibTrans" cxnId="{12CCEF52-4E77-45AE-905E-9D006632A7AF}">
      <dgm:prSet/>
      <dgm:spPr/>
      <dgm:t>
        <a:bodyPr/>
        <a:lstStyle/>
        <a:p>
          <a:pPr algn="l"/>
          <a:endParaRPr lang="en-GB"/>
        </a:p>
      </dgm:t>
    </dgm:pt>
    <dgm:pt modelId="{1D4BDCCF-F4ED-4E3E-9D8D-60506B79DC2B}">
      <dgm:prSet phldrT="[Text]" custT="1"/>
      <dgm:spPr/>
      <dgm:t>
        <a:bodyPr/>
        <a:lstStyle/>
        <a:p>
          <a:pPr algn="l"/>
          <a:r>
            <a:rPr lang="en-GB" sz="1050"/>
            <a:t>Shropshire Prevention </a:t>
          </a:r>
          <a:r>
            <a:rPr lang="en-GB" sz="1100"/>
            <a:t>Framework</a:t>
          </a:r>
        </a:p>
      </dgm:t>
    </dgm:pt>
    <dgm:pt modelId="{F5DEEA74-90B5-4E02-B0E1-C36C09A4D349}" type="parTrans" cxnId="{079FD303-CD89-414C-8EC2-247515259019}">
      <dgm:prSet/>
      <dgm:spPr/>
      <dgm:t>
        <a:bodyPr/>
        <a:lstStyle/>
        <a:p>
          <a:pPr algn="l"/>
          <a:endParaRPr lang="en-GB"/>
        </a:p>
      </dgm:t>
    </dgm:pt>
    <dgm:pt modelId="{80704F9B-1802-4ED2-897C-BB2DB700AAAC}" type="sibTrans" cxnId="{079FD303-CD89-414C-8EC2-247515259019}">
      <dgm:prSet/>
      <dgm:spPr/>
      <dgm:t>
        <a:bodyPr/>
        <a:lstStyle/>
        <a:p>
          <a:pPr algn="l"/>
          <a:endParaRPr lang="en-GB"/>
        </a:p>
      </dgm:t>
    </dgm:pt>
    <dgm:pt modelId="{CFF31091-5E34-4F86-8A05-AA931823CB0D}">
      <dgm:prSet phldrT="[Text]" custT="1"/>
      <dgm:spPr/>
      <dgm:t>
        <a:bodyPr/>
        <a:lstStyle/>
        <a:p>
          <a:pPr algn="l"/>
          <a:r>
            <a:rPr lang="en-GB" sz="1100"/>
            <a:t>ShIPP Priorities</a:t>
          </a:r>
        </a:p>
      </dgm:t>
    </dgm:pt>
    <dgm:pt modelId="{8346729B-AFD7-4135-B1A5-F6A656830C7B}" type="parTrans" cxnId="{7E67899E-6727-4424-8B32-BE7796FC5AA5}">
      <dgm:prSet/>
      <dgm:spPr/>
      <dgm:t>
        <a:bodyPr/>
        <a:lstStyle/>
        <a:p>
          <a:pPr algn="l"/>
          <a:endParaRPr lang="en-GB"/>
        </a:p>
      </dgm:t>
    </dgm:pt>
    <dgm:pt modelId="{C13DC03B-1B7B-4906-9D16-26E380266AE4}" type="sibTrans" cxnId="{7E67899E-6727-4424-8B32-BE7796FC5AA5}">
      <dgm:prSet/>
      <dgm:spPr/>
      <dgm:t>
        <a:bodyPr/>
        <a:lstStyle/>
        <a:p>
          <a:pPr algn="l"/>
          <a:endParaRPr lang="en-GB"/>
        </a:p>
      </dgm:t>
    </dgm:pt>
    <dgm:pt modelId="{F3CF071B-A672-4946-94E4-A40A2BCE00F5}">
      <dgm:prSet phldrT="[Text]" custT="1"/>
      <dgm:spPr/>
      <dgm:t>
        <a:bodyPr/>
        <a:lstStyle/>
        <a:p>
          <a:pPr algn="ctr"/>
          <a:r>
            <a:rPr lang="en-GB" sz="1400" b="1"/>
            <a:t>Links to National                      Policies and Initiatives</a:t>
          </a:r>
        </a:p>
      </dgm:t>
    </dgm:pt>
    <dgm:pt modelId="{5C712044-9044-4345-948E-B8F5AA2FCD53}" type="parTrans" cxnId="{1A24BC84-98F8-478C-89CD-1F5A04C4B9EE}">
      <dgm:prSet/>
      <dgm:spPr/>
      <dgm:t>
        <a:bodyPr/>
        <a:lstStyle/>
        <a:p>
          <a:pPr algn="l"/>
          <a:endParaRPr lang="en-GB"/>
        </a:p>
      </dgm:t>
    </dgm:pt>
    <dgm:pt modelId="{7FB5E6CD-5A52-4FAE-9306-833D7CB21434}" type="sibTrans" cxnId="{1A24BC84-98F8-478C-89CD-1F5A04C4B9EE}">
      <dgm:prSet/>
      <dgm:spPr/>
      <dgm:t>
        <a:bodyPr/>
        <a:lstStyle/>
        <a:p>
          <a:pPr algn="l"/>
          <a:endParaRPr lang="en-GB"/>
        </a:p>
      </dgm:t>
    </dgm:pt>
    <dgm:pt modelId="{6FE14ECD-ED20-40F6-BCA6-C8A0A5A91C38}">
      <dgm:prSet phldrT="[Text]" custT="1"/>
      <dgm:spPr/>
      <dgm:t>
        <a:bodyPr/>
        <a:lstStyle/>
        <a:p>
          <a:pPr algn="l"/>
          <a:r>
            <a:rPr lang="en-GB" sz="1050"/>
            <a:t>STW Neighbourhood Approach</a:t>
          </a:r>
        </a:p>
      </dgm:t>
    </dgm:pt>
    <dgm:pt modelId="{E56495EF-3A43-48D3-A426-C8EF71B2F604}" type="parTrans" cxnId="{14224D82-752C-4031-B609-C1BB95691EA3}">
      <dgm:prSet/>
      <dgm:spPr/>
      <dgm:t>
        <a:bodyPr/>
        <a:lstStyle/>
        <a:p>
          <a:endParaRPr lang="en-GB"/>
        </a:p>
      </dgm:t>
    </dgm:pt>
    <dgm:pt modelId="{0F41AD02-1AAB-48DF-8745-699B3606A55E}" type="sibTrans" cxnId="{14224D82-752C-4031-B609-C1BB95691EA3}">
      <dgm:prSet/>
      <dgm:spPr/>
      <dgm:t>
        <a:bodyPr/>
        <a:lstStyle/>
        <a:p>
          <a:endParaRPr lang="en-GB"/>
        </a:p>
      </dgm:t>
    </dgm:pt>
    <dgm:pt modelId="{D0038165-2495-48C5-8829-F30DA9C086BA}">
      <dgm:prSet phldrT="[Text]" custT="1"/>
      <dgm:spPr/>
      <dgm:t>
        <a:bodyPr/>
        <a:lstStyle/>
        <a:p>
          <a:pPr algn="l"/>
          <a:r>
            <a:rPr lang="en-GB" sz="1050"/>
            <a:t>NHS England Personalised care</a:t>
          </a:r>
        </a:p>
      </dgm:t>
    </dgm:pt>
    <dgm:pt modelId="{8E6DA675-9EF9-47B7-870D-D3213B919F07}" type="parTrans" cxnId="{9BB21673-E149-40DF-912E-D7EF8CE87C63}">
      <dgm:prSet/>
      <dgm:spPr/>
      <dgm:t>
        <a:bodyPr/>
        <a:lstStyle/>
        <a:p>
          <a:endParaRPr lang="en-GB"/>
        </a:p>
      </dgm:t>
    </dgm:pt>
    <dgm:pt modelId="{EDD8276D-9BBF-47A7-B829-2458B2D13C33}" type="sibTrans" cxnId="{9BB21673-E149-40DF-912E-D7EF8CE87C63}">
      <dgm:prSet/>
      <dgm:spPr/>
      <dgm:t>
        <a:bodyPr/>
        <a:lstStyle/>
        <a:p>
          <a:endParaRPr lang="en-GB"/>
        </a:p>
      </dgm:t>
    </dgm:pt>
    <dgm:pt modelId="{B1CEF682-89C6-4F13-A6DB-F181D54BEC0E}">
      <dgm:prSet custT="1"/>
      <dgm:spPr/>
      <dgm:t>
        <a:bodyPr/>
        <a:lstStyle/>
        <a:p>
          <a:pPr algn="l"/>
          <a:r>
            <a:rPr lang="en-GB" sz="1050"/>
            <a:t>Chief Medical Officer’s Annual Report 2023: Health in an ageing society</a:t>
          </a:r>
        </a:p>
      </dgm:t>
    </dgm:pt>
    <dgm:pt modelId="{BA0C4133-B66D-4173-A191-06D9418D760D}" type="parTrans" cxnId="{FD06AA67-2393-4633-AD99-2F190B134B90}">
      <dgm:prSet/>
      <dgm:spPr/>
      <dgm:t>
        <a:bodyPr/>
        <a:lstStyle/>
        <a:p>
          <a:endParaRPr lang="en-GB"/>
        </a:p>
      </dgm:t>
    </dgm:pt>
    <dgm:pt modelId="{CEDF9505-CC5E-432E-92A6-ECEC2EDC0371}" type="sibTrans" cxnId="{FD06AA67-2393-4633-AD99-2F190B134B90}">
      <dgm:prSet/>
      <dgm:spPr/>
      <dgm:t>
        <a:bodyPr/>
        <a:lstStyle/>
        <a:p>
          <a:endParaRPr lang="en-GB"/>
        </a:p>
      </dgm:t>
    </dgm:pt>
    <dgm:pt modelId="{BADA1C61-6A3B-4C67-903B-FA5F707431C0}">
      <dgm:prSet custT="1"/>
      <dgm:spPr/>
      <dgm:t>
        <a:bodyPr/>
        <a:lstStyle/>
        <a:p>
          <a:pPr algn="l"/>
          <a:r>
            <a:rPr lang="en-GB" sz="1050"/>
            <a:t>Geriatric medicine - Getting It Right First Time</a:t>
          </a:r>
        </a:p>
      </dgm:t>
    </dgm:pt>
    <dgm:pt modelId="{558FD611-73F7-490F-B87F-31969EDF7E77}" type="parTrans" cxnId="{B13B85E5-B046-4E2D-943F-8BD218BF6417}">
      <dgm:prSet/>
      <dgm:spPr/>
      <dgm:t>
        <a:bodyPr/>
        <a:lstStyle/>
        <a:p>
          <a:endParaRPr lang="en-GB"/>
        </a:p>
      </dgm:t>
    </dgm:pt>
    <dgm:pt modelId="{8CB08519-1497-4823-A814-90911CBCE313}" type="sibTrans" cxnId="{B13B85E5-B046-4E2D-943F-8BD218BF6417}">
      <dgm:prSet/>
      <dgm:spPr/>
      <dgm:t>
        <a:bodyPr/>
        <a:lstStyle/>
        <a:p>
          <a:endParaRPr lang="en-GB"/>
        </a:p>
      </dgm:t>
    </dgm:pt>
    <dgm:pt modelId="{670C4B80-C297-41DD-AF3B-15C773C0E53E}">
      <dgm:prSet custT="1"/>
      <dgm:spPr/>
      <dgm:t>
        <a:bodyPr/>
        <a:lstStyle/>
        <a:p>
          <a:pPr algn="l"/>
          <a:r>
            <a:rPr lang="en-GB" sz="1050"/>
            <a:t>Be proactive: Proactive care for older people with frailty - British Geriatrics Society</a:t>
          </a:r>
        </a:p>
      </dgm:t>
    </dgm:pt>
    <dgm:pt modelId="{BD2666D0-BEF9-42D0-BD65-0EEB36481FF8}" type="parTrans" cxnId="{E8740516-C014-45A7-B84D-39ACEBE80530}">
      <dgm:prSet/>
      <dgm:spPr/>
      <dgm:t>
        <a:bodyPr/>
        <a:lstStyle/>
        <a:p>
          <a:endParaRPr lang="en-GB"/>
        </a:p>
      </dgm:t>
    </dgm:pt>
    <dgm:pt modelId="{8776F182-1722-4B25-996A-C62FB8BF72C2}" type="sibTrans" cxnId="{E8740516-C014-45A7-B84D-39ACEBE80530}">
      <dgm:prSet/>
      <dgm:spPr/>
      <dgm:t>
        <a:bodyPr/>
        <a:lstStyle/>
        <a:p>
          <a:endParaRPr lang="en-GB"/>
        </a:p>
      </dgm:t>
    </dgm:pt>
    <dgm:pt modelId="{75640EC2-222D-42B4-8A59-944CCC3CE703}">
      <dgm:prSet phldrT="[Text]" custT="1"/>
      <dgm:spPr/>
      <dgm:t>
        <a:bodyPr/>
        <a:lstStyle/>
        <a:p>
          <a:pPr algn="l"/>
          <a:r>
            <a:rPr lang="en-GB" sz="1050"/>
            <a:t>STW Joint Forward Plan</a:t>
          </a:r>
        </a:p>
      </dgm:t>
    </dgm:pt>
    <dgm:pt modelId="{5A32CA3B-4419-403A-9D14-EE2D08E548EC}" type="parTrans" cxnId="{809115D4-B809-440D-A1B1-4E901646DAD9}">
      <dgm:prSet/>
      <dgm:spPr/>
      <dgm:t>
        <a:bodyPr/>
        <a:lstStyle/>
        <a:p>
          <a:endParaRPr lang="en-GB"/>
        </a:p>
      </dgm:t>
    </dgm:pt>
    <dgm:pt modelId="{3E600E7B-FEA1-4854-B2FF-99FDA4CF09F1}" type="sibTrans" cxnId="{809115D4-B809-440D-A1B1-4E901646DAD9}">
      <dgm:prSet/>
      <dgm:spPr/>
      <dgm:t>
        <a:bodyPr/>
        <a:lstStyle/>
        <a:p>
          <a:endParaRPr lang="en-GB"/>
        </a:p>
      </dgm:t>
    </dgm:pt>
    <dgm:pt modelId="{16BE5403-DA85-43CE-8DD2-EA2F95FD575B}">
      <dgm:prSet phldrT="[Text]" custT="1"/>
      <dgm:spPr/>
      <dgm:t>
        <a:bodyPr/>
        <a:lstStyle/>
        <a:p>
          <a:pPr algn="l"/>
          <a:r>
            <a:rPr lang="en-GB" sz="1050"/>
            <a:t>Skills for Health Frailty Framework</a:t>
          </a:r>
        </a:p>
      </dgm:t>
    </dgm:pt>
    <dgm:pt modelId="{2C9914AD-3E50-4CD7-86BF-8741B78CFA34}" type="parTrans" cxnId="{FF5B443E-5143-4912-891E-2DF9472BF35B}">
      <dgm:prSet/>
      <dgm:spPr/>
      <dgm:t>
        <a:bodyPr/>
        <a:lstStyle/>
        <a:p>
          <a:endParaRPr lang="en-GB"/>
        </a:p>
      </dgm:t>
    </dgm:pt>
    <dgm:pt modelId="{0C80994C-A2F4-45FD-A9CF-C846B684676D}" type="sibTrans" cxnId="{FF5B443E-5143-4912-891E-2DF9472BF35B}">
      <dgm:prSet/>
      <dgm:spPr/>
      <dgm:t>
        <a:bodyPr/>
        <a:lstStyle/>
        <a:p>
          <a:endParaRPr lang="en-GB"/>
        </a:p>
      </dgm:t>
    </dgm:pt>
    <dgm:pt modelId="{99EAD920-D0B7-4CB4-9176-69114A4A2FE3}">
      <dgm:prSet custT="1"/>
      <dgm:spPr/>
      <dgm:t>
        <a:bodyPr/>
        <a:lstStyle/>
        <a:p>
          <a:pPr algn="l"/>
          <a:r>
            <a:rPr lang="en-GB" sz="1050" b="0" i="0"/>
            <a:t>NHS Proactive care: providing care and support for people living at home with moderate or severe frailty</a:t>
          </a:r>
          <a:endParaRPr lang="en-GB" sz="1050" b="0"/>
        </a:p>
      </dgm:t>
    </dgm:pt>
    <dgm:pt modelId="{4D5A7E60-F058-41CF-835D-F0CF2A4D6756}" type="parTrans" cxnId="{A1D5C0E7-E130-4380-A983-D2F1B47AF77A}">
      <dgm:prSet/>
      <dgm:spPr/>
      <dgm:t>
        <a:bodyPr/>
        <a:lstStyle/>
        <a:p>
          <a:endParaRPr lang="en-GB"/>
        </a:p>
      </dgm:t>
    </dgm:pt>
    <dgm:pt modelId="{78E5305C-EBE1-4D65-978C-27CDA014CDE5}" type="sibTrans" cxnId="{A1D5C0E7-E130-4380-A983-D2F1B47AF77A}">
      <dgm:prSet/>
      <dgm:spPr/>
      <dgm:t>
        <a:bodyPr/>
        <a:lstStyle/>
        <a:p>
          <a:endParaRPr lang="en-GB"/>
        </a:p>
      </dgm:t>
    </dgm:pt>
    <dgm:pt modelId="{57C69703-F7EB-43ED-80CC-F7FC525AE53E}">
      <dgm:prSet phldrT="[Text]" custT="1"/>
      <dgm:spPr/>
      <dgm:t>
        <a:bodyPr/>
        <a:lstStyle/>
        <a:p>
          <a:pPr algn="l"/>
          <a:r>
            <a:rPr lang="en-GB" sz="1050"/>
            <a:t>STW Integrated Care Strategy</a:t>
          </a:r>
        </a:p>
      </dgm:t>
    </dgm:pt>
    <dgm:pt modelId="{D49041B9-D89D-4565-8B8C-B023FABACAF1}" type="parTrans" cxnId="{387FFF67-366F-488F-83FC-9DCFC7013E90}">
      <dgm:prSet/>
      <dgm:spPr/>
    </dgm:pt>
    <dgm:pt modelId="{1B513267-0350-492D-8B50-B697DD3EBC47}" type="sibTrans" cxnId="{387FFF67-366F-488F-83FC-9DCFC7013E90}">
      <dgm:prSet/>
      <dgm:spPr/>
    </dgm:pt>
    <dgm:pt modelId="{7FC53963-75C4-481D-B0AE-7C36D55036BD}" type="pres">
      <dgm:prSet presAssocID="{E8397EB7-3136-4F91-AADE-B06D79560B2E}" presName="Name0" presStyleCnt="0">
        <dgm:presLayoutVars>
          <dgm:dir/>
          <dgm:animLvl val="lvl"/>
          <dgm:resizeHandles val="exact"/>
        </dgm:presLayoutVars>
      </dgm:prSet>
      <dgm:spPr/>
    </dgm:pt>
    <dgm:pt modelId="{34A60C4D-5796-48A7-844F-0763A198D9B3}" type="pres">
      <dgm:prSet presAssocID="{5998B5D1-0BC6-40D1-817D-A362D7382EF0}" presName="composite" presStyleCnt="0"/>
      <dgm:spPr/>
    </dgm:pt>
    <dgm:pt modelId="{41D356F8-9960-4958-B7DC-A4519F55AEF5}" type="pres">
      <dgm:prSet presAssocID="{5998B5D1-0BC6-40D1-817D-A362D7382EF0}" presName="parTx" presStyleLbl="alignNode1" presStyleIdx="0" presStyleCnt="2">
        <dgm:presLayoutVars>
          <dgm:chMax val="0"/>
          <dgm:chPref val="0"/>
          <dgm:bulletEnabled val="1"/>
        </dgm:presLayoutVars>
      </dgm:prSet>
      <dgm:spPr/>
    </dgm:pt>
    <dgm:pt modelId="{95AEEDFA-7E50-4259-85EF-09EDE2AB58BB}" type="pres">
      <dgm:prSet presAssocID="{5998B5D1-0BC6-40D1-817D-A362D7382EF0}" presName="desTx" presStyleLbl="alignAccFollowNode1" presStyleIdx="0" presStyleCnt="2" custScaleY="100000">
        <dgm:presLayoutVars>
          <dgm:bulletEnabled val="1"/>
        </dgm:presLayoutVars>
      </dgm:prSet>
      <dgm:spPr/>
    </dgm:pt>
    <dgm:pt modelId="{707376EA-DBB6-42A4-8C64-2AC5C58C46EF}" type="pres">
      <dgm:prSet presAssocID="{91754C91-114C-493F-988C-4439F9E4743D}" presName="space" presStyleCnt="0"/>
      <dgm:spPr/>
    </dgm:pt>
    <dgm:pt modelId="{DEC68261-0CFB-4734-BAFE-B8533F271636}" type="pres">
      <dgm:prSet presAssocID="{F3CF071B-A672-4946-94E4-A40A2BCE00F5}" presName="composite" presStyleCnt="0"/>
      <dgm:spPr/>
    </dgm:pt>
    <dgm:pt modelId="{7D518AC5-002F-428C-BAC9-A1E57FAD1365}" type="pres">
      <dgm:prSet presAssocID="{F3CF071B-A672-4946-94E4-A40A2BCE00F5}" presName="parTx" presStyleLbl="alignNode1" presStyleIdx="1" presStyleCnt="2">
        <dgm:presLayoutVars>
          <dgm:chMax val="0"/>
          <dgm:chPref val="0"/>
          <dgm:bulletEnabled val="1"/>
        </dgm:presLayoutVars>
      </dgm:prSet>
      <dgm:spPr/>
    </dgm:pt>
    <dgm:pt modelId="{32EB8A40-A0B0-44D9-A7C6-FE58D6EA3028}" type="pres">
      <dgm:prSet presAssocID="{F3CF071B-A672-4946-94E4-A40A2BCE00F5}" presName="desTx" presStyleLbl="alignAccFollowNode1" presStyleIdx="1" presStyleCnt="2">
        <dgm:presLayoutVars>
          <dgm:bulletEnabled val="1"/>
        </dgm:presLayoutVars>
      </dgm:prSet>
      <dgm:spPr/>
    </dgm:pt>
  </dgm:ptLst>
  <dgm:cxnLst>
    <dgm:cxn modelId="{3C453003-AD04-40D0-8216-DFA145C30523}" srcId="{5998B5D1-0BC6-40D1-817D-A362D7382EF0}" destId="{DC75F08E-C116-46D4-A237-0F59A6DA736D}" srcOrd="6" destOrd="0" parTransId="{8A836049-76DB-49BE-B84F-2273FD01018E}" sibTransId="{99ACEDEC-43A6-4066-A34E-1D3294E5B797}"/>
    <dgm:cxn modelId="{079FD303-CD89-414C-8EC2-247515259019}" srcId="{5998B5D1-0BC6-40D1-817D-A362D7382EF0}" destId="{1D4BDCCF-F4ED-4E3E-9D8D-60506B79DC2B}" srcOrd="10" destOrd="0" parTransId="{F5DEEA74-90B5-4E02-B0E1-C36C09A4D349}" sibTransId="{80704F9B-1802-4ED2-897C-BB2DB700AAAC}"/>
    <dgm:cxn modelId="{BD5B5A04-5A74-4AFC-9C8E-D2F5FCCB66DA}" type="presOf" srcId="{6DEAC773-F575-4708-9215-FA4AF504A37C}" destId="{95AEEDFA-7E50-4259-85EF-09EDE2AB58BB}" srcOrd="0" destOrd="3" presId="urn:microsoft.com/office/officeart/2005/8/layout/hList1"/>
    <dgm:cxn modelId="{0DAA8D08-56DB-4F34-87BE-B2542AD26578}" srcId="{5998B5D1-0BC6-40D1-817D-A362D7382EF0}" destId="{4F1DB4DF-CD2C-42B6-8F98-FCB27465DB51}" srcOrd="7" destOrd="0" parTransId="{DCDD799F-BF32-4193-AAEE-E47E2BCAEFC0}" sibTransId="{0D29324D-F619-4B10-BB8C-A49DC3AF3501}"/>
    <dgm:cxn modelId="{F5E4BE0A-3801-4C2B-908A-0B9B3EA2F76D}" type="presOf" srcId="{4A36C560-3B2B-4747-8C50-BD8BAB48A505}" destId="{95AEEDFA-7E50-4259-85EF-09EDE2AB58BB}" srcOrd="0" destOrd="8" presId="urn:microsoft.com/office/officeart/2005/8/layout/hList1"/>
    <dgm:cxn modelId="{1F793A0B-8E15-46AD-B5A0-02864F835B62}" srcId="{F3CF071B-A672-4946-94E4-A40A2BCE00F5}" destId="{20DBBAF4-7A24-476F-B5C9-D59455C81F55}" srcOrd="0" destOrd="0" parTransId="{CDA987D8-4830-4DEE-9EEA-E45B973220F4}" sibTransId="{1848ACCD-6BD4-456D-A3D1-660771C98EB4}"/>
    <dgm:cxn modelId="{BD4D460D-45D6-45C4-9C85-CBF9AD8F1705}" srcId="{5998B5D1-0BC6-40D1-817D-A362D7382EF0}" destId="{BFD0DBFE-4B34-46D4-93FD-F22377A0768D}" srcOrd="4" destOrd="0" parTransId="{7E1345EA-D927-4079-B4B3-269703095172}" sibTransId="{E1136646-D8F5-4D04-B812-2C22D418148C}"/>
    <dgm:cxn modelId="{07CFF90E-F070-40BE-B537-DB24C6EA93ED}" type="presOf" srcId="{5998B5D1-0BC6-40D1-817D-A362D7382EF0}" destId="{41D356F8-9960-4958-B7DC-A4519F55AEF5}" srcOrd="0" destOrd="0" presId="urn:microsoft.com/office/officeart/2005/8/layout/hList1"/>
    <dgm:cxn modelId="{E8740516-C014-45A7-B84D-39ACEBE80530}" srcId="{F3CF071B-A672-4946-94E4-A40A2BCE00F5}" destId="{670C4B80-C297-41DD-AF3B-15C773C0E53E}" srcOrd="5" destOrd="0" parTransId="{BD2666D0-BEF9-42D0-BD65-0EEB36481FF8}" sibTransId="{8776F182-1722-4B25-996A-C62FB8BF72C2}"/>
    <dgm:cxn modelId="{F06CE819-DAF2-4576-9233-44CCCE111A5C}" type="presOf" srcId="{4173E84F-7924-40B1-9178-8732DF9F072E}" destId="{95AEEDFA-7E50-4259-85EF-09EDE2AB58BB}" srcOrd="0" destOrd="5" presId="urn:microsoft.com/office/officeart/2005/8/layout/hList1"/>
    <dgm:cxn modelId="{C4DE642D-7024-4C8A-840B-33BD9E49CA7E}" type="presOf" srcId="{4F1DB4DF-CD2C-42B6-8F98-FCB27465DB51}" destId="{95AEEDFA-7E50-4259-85EF-09EDE2AB58BB}" srcOrd="0" destOrd="7" presId="urn:microsoft.com/office/officeart/2005/8/layout/hList1"/>
    <dgm:cxn modelId="{FF5B443E-5143-4912-891E-2DF9472BF35B}" srcId="{F3CF071B-A672-4946-94E4-A40A2BCE00F5}" destId="{16BE5403-DA85-43CE-8DD2-EA2F95FD575B}" srcOrd="2" destOrd="0" parTransId="{2C9914AD-3E50-4CD7-86BF-8741B78CFA34}" sibTransId="{0C80994C-A2F4-45FD-A9CF-C846B684676D}"/>
    <dgm:cxn modelId="{FBA2E360-2BC4-47DE-B09E-68F9D178EB67}" type="presOf" srcId="{DC75F08E-C116-46D4-A237-0F59A6DA736D}" destId="{95AEEDFA-7E50-4259-85EF-09EDE2AB58BB}" srcOrd="0" destOrd="6" presId="urn:microsoft.com/office/officeart/2005/8/layout/hList1"/>
    <dgm:cxn modelId="{9A46F265-1920-401B-A17A-E74390D41044}" type="presOf" srcId="{F3CF071B-A672-4946-94E4-A40A2BCE00F5}" destId="{7D518AC5-002F-428C-BAC9-A1E57FAD1365}" srcOrd="0" destOrd="0" presId="urn:microsoft.com/office/officeart/2005/8/layout/hList1"/>
    <dgm:cxn modelId="{13843B47-8009-4CAF-BED7-34CAD2F8FB3F}" type="presOf" srcId="{BADA1C61-6A3B-4C67-903B-FA5F707431C0}" destId="{32EB8A40-A0B0-44D9-A7C6-FE58D6EA3028}" srcOrd="0" destOrd="4" presId="urn:microsoft.com/office/officeart/2005/8/layout/hList1"/>
    <dgm:cxn modelId="{B5976847-8686-4BA8-8350-235AAA364CE5}" srcId="{E8397EB7-3136-4F91-AADE-B06D79560B2E}" destId="{5998B5D1-0BC6-40D1-817D-A362D7382EF0}" srcOrd="0" destOrd="0" parTransId="{B1195DFC-D36B-4681-BEC6-7F65DB5D9768}" sibTransId="{91754C91-114C-493F-988C-4439F9E4743D}"/>
    <dgm:cxn modelId="{FD06AA67-2393-4633-AD99-2F190B134B90}" srcId="{F3CF071B-A672-4946-94E4-A40A2BCE00F5}" destId="{B1CEF682-89C6-4F13-A6DB-F181D54BEC0E}" srcOrd="3" destOrd="0" parTransId="{BA0C4133-B66D-4173-A191-06D9418D760D}" sibTransId="{CEDF9505-CC5E-432E-92A6-ECEC2EDC0371}"/>
    <dgm:cxn modelId="{387FFF67-366F-488F-83FC-9DCFC7013E90}" srcId="{5998B5D1-0BC6-40D1-817D-A362D7382EF0}" destId="{57C69703-F7EB-43ED-80CC-F7FC525AE53E}" srcOrd="1" destOrd="0" parTransId="{D49041B9-D89D-4565-8B8C-B023FABACAF1}" sibTransId="{1B513267-0350-492D-8B50-B697DD3EBC47}"/>
    <dgm:cxn modelId="{F7BB064B-610A-424A-BF4C-38E12CE0BCF4}" type="presOf" srcId="{CFF31091-5E34-4F86-8A05-AA931823CB0D}" destId="{95AEEDFA-7E50-4259-85EF-09EDE2AB58BB}" srcOrd="0" destOrd="11" presId="urn:microsoft.com/office/officeart/2005/8/layout/hList1"/>
    <dgm:cxn modelId="{5A65334F-2840-4E48-A694-C830CE55332E}" type="presOf" srcId="{BFD0DBFE-4B34-46D4-93FD-F22377A0768D}" destId="{95AEEDFA-7E50-4259-85EF-09EDE2AB58BB}" srcOrd="0" destOrd="4" presId="urn:microsoft.com/office/officeart/2005/8/layout/hList1"/>
    <dgm:cxn modelId="{5F24C072-32BE-47F5-833D-8F0741453BEB}" type="presOf" srcId="{B1CEF682-89C6-4F13-A6DB-F181D54BEC0E}" destId="{32EB8A40-A0B0-44D9-A7C6-FE58D6EA3028}" srcOrd="0" destOrd="3" presId="urn:microsoft.com/office/officeart/2005/8/layout/hList1"/>
    <dgm:cxn modelId="{12CCEF52-4E77-45AE-905E-9D006632A7AF}" srcId="{5998B5D1-0BC6-40D1-817D-A362D7382EF0}" destId="{D1C40D95-4C6D-493C-AAEA-01A68DA159A4}" srcOrd="9" destOrd="0" parTransId="{25A988FA-6556-47A3-9568-D7EBD3939D44}" sibTransId="{827BF1D9-B329-46B6-92D9-1D903F618C87}"/>
    <dgm:cxn modelId="{9BB21673-E149-40DF-912E-D7EF8CE87C63}" srcId="{F3CF071B-A672-4946-94E4-A40A2BCE00F5}" destId="{D0038165-2495-48C5-8829-F30DA9C086BA}" srcOrd="1" destOrd="0" parTransId="{8E6DA675-9EF9-47B7-870D-D3213B919F07}" sibTransId="{EDD8276D-9BBF-47A7-B829-2458B2D13C33}"/>
    <dgm:cxn modelId="{C4772D5A-9685-4741-B4CA-795C90F2FEA9}" type="presOf" srcId="{20DBBAF4-7A24-476F-B5C9-D59455C81F55}" destId="{32EB8A40-A0B0-44D9-A7C6-FE58D6EA3028}" srcOrd="0" destOrd="0" presId="urn:microsoft.com/office/officeart/2005/8/layout/hList1"/>
    <dgm:cxn modelId="{46C0875A-8D4B-417E-8940-463B90259A4B}" type="presOf" srcId="{E8397EB7-3136-4F91-AADE-B06D79560B2E}" destId="{7FC53963-75C4-481D-B0AE-7C36D55036BD}" srcOrd="0" destOrd="0" presId="urn:microsoft.com/office/officeart/2005/8/layout/hList1"/>
    <dgm:cxn modelId="{14224D82-752C-4031-B609-C1BB95691EA3}" srcId="{5998B5D1-0BC6-40D1-817D-A362D7382EF0}" destId="{6FE14ECD-ED20-40F6-BCA6-C8A0A5A91C38}" srcOrd="2" destOrd="0" parTransId="{E56495EF-3A43-48D3-A426-C8EF71B2F604}" sibTransId="{0F41AD02-1AAB-48DF-8745-699B3606A55E}"/>
    <dgm:cxn modelId="{1A24BC84-98F8-478C-89CD-1F5A04C4B9EE}" srcId="{E8397EB7-3136-4F91-AADE-B06D79560B2E}" destId="{F3CF071B-A672-4946-94E4-A40A2BCE00F5}" srcOrd="1" destOrd="0" parTransId="{5C712044-9044-4345-948E-B8F5AA2FCD53}" sibTransId="{7FB5E6CD-5A52-4FAE-9306-833D7CB21434}"/>
    <dgm:cxn modelId="{38575385-5634-4DEF-BE0B-15C74F70C32A}" type="presOf" srcId="{1D4BDCCF-F4ED-4E3E-9D8D-60506B79DC2B}" destId="{95AEEDFA-7E50-4259-85EF-09EDE2AB58BB}" srcOrd="0" destOrd="10" presId="urn:microsoft.com/office/officeart/2005/8/layout/hList1"/>
    <dgm:cxn modelId="{D9F6D088-22AC-4794-84B4-27FA5D999001}" srcId="{5998B5D1-0BC6-40D1-817D-A362D7382EF0}" destId="{4A36C560-3B2B-4747-8C50-BD8BAB48A505}" srcOrd="8" destOrd="0" parTransId="{FD217847-78BF-4092-AB53-1B0F77B196C0}" sibTransId="{67FBE634-2461-4FFA-9BEE-7FB72B43B57C}"/>
    <dgm:cxn modelId="{346BED89-BF3D-404B-8166-09CBFA9FF59A}" type="presOf" srcId="{99EAD920-D0B7-4CB4-9176-69114A4A2FE3}" destId="{32EB8A40-A0B0-44D9-A7C6-FE58D6EA3028}" srcOrd="0" destOrd="6" presId="urn:microsoft.com/office/officeart/2005/8/layout/hList1"/>
    <dgm:cxn modelId="{4967A598-14F7-4D42-9EB7-A06D323BF072}" type="presOf" srcId="{16BE5403-DA85-43CE-8DD2-EA2F95FD575B}" destId="{32EB8A40-A0B0-44D9-A7C6-FE58D6EA3028}" srcOrd="0" destOrd="2" presId="urn:microsoft.com/office/officeart/2005/8/layout/hList1"/>
    <dgm:cxn modelId="{7E67899E-6727-4424-8B32-BE7796FC5AA5}" srcId="{5998B5D1-0BC6-40D1-817D-A362D7382EF0}" destId="{CFF31091-5E34-4F86-8A05-AA931823CB0D}" srcOrd="11" destOrd="0" parTransId="{8346729B-AFD7-4135-B1A5-F6A656830C7B}" sibTransId="{C13DC03B-1B7B-4906-9D16-26E380266AE4}"/>
    <dgm:cxn modelId="{677AC89E-2B2C-473A-A2F5-8E67AA5D3DD1}" type="presOf" srcId="{75640EC2-222D-42B4-8A59-944CCC3CE703}" destId="{95AEEDFA-7E50-4259-85EF-09EDE2AB58BB}" srcOrd="0" destOrd="0" presId="urn:microsoft.com/office/officeart/2005/8/layout/hList1"/>
    <dgm:cxn modelId="{AB11DEA6-0CA8-48DF-98E3-2E62192171DB}" type="presOf" srcId="{D0038165-2495-48C5-8829-F30DA9C086BA}" destId="{32EB8A40-A0B0-44D9-A7C6-FE58D6EA3028}" srcOrd="0" destOrd="1" presId="urn:microsoft.com/office/officeart/2005/8/layout/hList1"/>
    <dgm:cxn modelId="{B09D9EC0-95A1-4852-8B6A-19F598961B0A}" srcId="{5998B5D1-0BC6-40D1-817D-A362D7382EF0}" destId="{4173E84F-7924-40B1-9178-8732DF9F072E}" srcOrd="5" destOrd="0" parTransId="{21948B3A-C182-4411-89FC-C0F44C15CC75}" sibTransId="{DCF6871B-92E1-487A-B864-4914DABC08EF}"/>
    <dgm:cxn modelId="{E838B5C2-EABF-4609-8A78-6BD912E70396}" srcId="{5998B5D1-0BC6-40D1-817D-A362D7382EF0}" destId="{6DEAC773-F575-4708-9215-FA4AF504A37C}" srcOrd="3" destOrd="0" parTransId="{1054FDAA-FA9B-4C16-A2BB-719D23B0C8C5}" sibTransId="{B09FC228-599D-4C46-9525-901FC12F43E8}"/>
    <dgm:cxn modelId="{54A443CC-39C4-4C5B-9E91-93DE23EF6DF0}" type="presOf" srcId="{D1C40D95-4C6D-493C-AAEA-01A68DA159A4}" destId="{95AEEDFA-7E50-4259-85EF-09EDE2AB58BB}" srcOrd="0" destOrd="9" presId="urn:microsoft.com/office/officeart/2005/8/layout/hList1"/>
    <dgm:cxn modelId="{DF476AD0-4288-4A2B-BE1D-425157CE9B66}" type="presOf" srcId="{57C69703-F7EB-43ED-80CC-F7FC525AE53E}" destId="{95AEEDFA-7E50-4259-85EF-09EDE2AB58BB}" srcOrd="0" destOrd="1" presId="urn:microsoft.com/office/officeart/2005/8/layout/hList1"/>
    <dgm:cxn modelId="{809115D4-B809-440D-A1B1-4E901646DAD9}" srcId="{5998B5D1-0BC6-40D1-817D-A362D7382EF0}" destId="{75640EC2-222D-42B4-8A59-944CCC3CE703}" srcOrd="0" destOrd="0" parTransId="{5A32CA3B-4419-403A-9D14-EE2D08E548EC}" sibTransId="{3E600E7B-FEA1-4854-B2FF-99FDA4CF09F1}"/>
    <dgm:cxn modelId="{B47283DB-B19F-4DC9-9AB9-C58FD1376CBA}" type="presOf" srcId="{670C4B80-C297-41DD-AF3B-15C773C0E53E}" destId="{32EB8A40-A0B0-44D9-A7C6-FE58D6EA3028}" srcOrd="0" destOrd="5" presId="urn:microsoft.com/office/officeart/2005/8/layout/hList1"/>
    <dgm:cxn modelId="{E9C79FE1-DE0C-4E3D-8DA2-0426A35A5DF8}" type="presOf" srcId="{6FE14ECD-ED20-40F6-BCA6-C8A0A5A91C38}" destId="{95AEEDFA-7E50-4259-85EF-09EDE2AB58BB}" srcOrd="0" destOrd="2" presId="urn:microsoft.com/office/officeart/2005/8/layout/hList1"/>
    <dgm:cxn modelId="{B13B85E5-B046-4E2D-943F-8BD218BF6417}" srcId="{F3CF071B-A672-4946-94E4-A40A2BCE00F5}" destId="{BADA1C61-6A3B-4C67-903B-FA5F707431C0}" srcOrd="4" destOrd="0" parTransId="{558FD611-73F7-490F-B87F-31969EDF7E77}" sibTransId="{8CB08519-1497-4823-A814-90911CBCE313}"/>
    <dgm:cxn modelId="{A1D5C0E7-E130-4380-A983-D2F1B47AF77A}" srcId="{F3CF071B-A672-4946-94E4-A40A2BCE00F5}" destId="{99EAD920-D0B7-4CB4-9176-69114A4A2FE3}" srcOrd="6" destOrd="0" parTransId="{4D5A7E60-F058-41CF-835D-F0CF2A4D6756}" sibTransId="{78E5305C-EBE1-4D65-978C-27CDA014CDE5}"/>
    <dgm:cxn modelId="{7A9E6778-51E2-4581-86C2-17FBA9B65FEB}" type="presParOf" srcId="{7FC53963-75C4-481D-B0AE-7C36D55036BD}" destId="{34A60C4D-5796-48A7-844F-0763A198D9B3}" srcOrd="0" destOrd="0" presId="urn:microsoft.com/office/officeart/2005/8/layout/hList1"/>
    <dgm:cxn modelId="{3CA11821-62AD-494B-8A44-10C59BAD4C14}" type="presParOf" srcId="{34A60C4D-5796-48A7-844F-0763A198D9B3}" destId="{41D356F8-9960-4958-B7DC-A4519F55AEF5}" srcOrd="0" destOrd="0" presId="urn:microsoft.com/office/officeart/2005/8/layout/hList1"/>
    <dgm:cxn modelId="{07A5FFC2-B891-41C7-B71C-2333367163CD}" type="presParOf" srcId="{34A60C4D-5796-48A7-844F-0763A198D9B3}" destId="{95AEEDFA-7E50-4259-85EF-09EDE2AB58BB}" srcOrd="1" destOrd="0" presId="urn:microsoft.com/office/officeart/2005/8/layout/hList1"/>
    <dgm:cxn modelId="{08A26AE9-9A3A-4B67-9D23-FD5F705B4DBF}" type="presParOf" srcId="{7FC53963-75C4-481D-B0AE-7C36D55036BD}" destId="{707376EA-DBB6-42A4-8C64-2AC5C58C46EF}" srcOrd="1" destOrd="0" presId="urn:microsoft.com/office/officeart/2005/8/layout/hList1"/>
    <dgm:cxn modelId="{485C1B27-5371-423E-938D-B29F43C108F8}" type="presParOf" srcId="{7FC53963-75C4-481D-B0AE-7C36D55036BD}" destId="{DEC68261-0CFB-4734-BAFE-B8533F271636}" srcOrd="2" destOrd="0" presId="urn:microsoft.com/office/officeart/2005/8/layout/hList1"/>
    <dgm:cxn modelId="{F557A407-C636-499E-B8B1-377C57F91291}" type="presParOf" srcId="{DEC68261-0CFB-4734-BAFE-B8533F271636}" destId="{7D518AC5-002F-428C-BAC9-A1E57FAD1365}" srcOrd="0" destOrd="0" presId="urn:microsoft.com/office/officeart/2005/8/layout/hList1"/>
    <dgm:cxn modelId="{806097F8-F5E6-4CB4-B1BA-C0DA43C0F64F}" type="presParOf" srcId="{DEC68261-0CFB-4734-BAFE-B8533F271636}" destId="{32EB8A40-A0B0-44D9-A7C6-FE58D6EA3028}" srcOrd="1" destOrd="0" presId="urn:microsoft.com/office/officeart/2005/8/layout/hLis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D356F8-9960-4958-B7DC-A4519F55AEF5}">
      <dsp:nvSpPr>
        <dsp:cNvPr id="0" name=""/>
        <dsp:cNvSpPr/>
      </dsp:nvSpPr>
      <dsp:spPr>
        <a:xfrm>
          <a:off x="4763" y="-6305"/>
          <a:ext cx="2953394" cy="533442"/>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marL="0" lvl="0" indent="0" algn="ctr" defTabSz="622300">
            <a:lnSpc>
              <a:spcPct val="90000"/>
            </a:lnSpc>
            <a:spcBef>
              <a:spcPct val="0"/>
            </a:spcBef>
            <a:spcAft>
              <a:spcPct val="35000"/>
            </a:spcAft>
            <a:buNone/>
          </a:pPr>
          <a:r>
            <a:rPr lang="en-GB" sz="1400" b="1" kern="1200"/>
            <a:t>Links to STW                            Strategic Priorites</a:t>
          </a:r>
        </a:p>
      </dsp:txBody>
      <dsp:txXfrm>
        <a:off x="4763" y="-6305"/>
        <a:ext cx="2953394" cy="533442"/>
      </dsp:txXfrm>
    </dsp:sp>
    <dsp:sp modelId="{95AEEDFA-7E50-4259-85EF-09EDE2AB58BB}">
      <dsp:nvSpPr>
        <dsp:cNvPr id="0" name=""/>
        <dsp:cNvSpPr/>
      </dsp:nvSpPr>
      <dsp:spPr>
        <a:xfrm>
          <a:off x="4763" y="527137"/>
          <a:ext cx="2953394" cy="203129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66725">
            <a:lnSpc>
              <a:spcPct val="90000"/>
            </a:lnSpc>
            <a:spcBef>
              <a:spcPct val="0"/>
            </a:spcBef>
            <a:spcAft>
              <a:spcPct val="15000"/>
            </a:spcAft>
            <a:buChar char="•"/>
          </a:pPr>
          <a:r>
            <a:rPr lang="en-GB" sz="1050" kern="1200"/>
            <a:t>STW Joint Forward Plan</a:t>
          </a:r>
        </a:p>
        <a:p>
          <a:pPr marL="57150" lvl="1" indent="-57150" algn="l" defTabSz="466725">
            <a:lnSpc>
              <a:spcPct val="90000"/>
            </a:lnSpc>
            <a:spcBef>
              <a:spcPct val="0"/>
            </a:spcBef>
            <a:spcAft>
              <a:spcPct val="15000"/>
            </a:spcAft>
            <a:buChar char="•"/>
          </a:pPr>
          <a:r>
            <a:rPr lang="en-GB" sz="1050" kern="1200"/>
            <a:t>STW Integrated Care Strategy</a:t>
          </a:r>
        </a:p>
        <a:p>
          <a:pPr marL="57150" lvl="1" indent="-57150" algn="l" defTabSz="466725">
            <a:lnSpc>
              <a:spcPct val="90000"/>
            </a:lnSpc>
            <a:spcBef>
              <a:spcPct val="0"/>
            </a:spcBef>
            <a:spcAft>
              <a:spcPct val="15000"/>
            </a:spcAft>
            <a:buChar char="•"/>
          </a:pPr>
          <a:r>
            <a:rPr lang="en-GB" sz="1050" kern="1200"/>
            <a:t>STW Neighbourhood Approach</a:t>
          </a:r>
        </a:p>
        <a:p>
          <a:pPr marL="57150" lvl="1" indent="-57150" algn="l" defTabSz="177800">
            <a:lnSpc>
              <a:spcPct val="90000"/>
            </a:lnSpc>
            <a:spcBef>
              <a:spcPct val="0"/>
            </a:spcBef>
            <a:spcAft>
              <a:spcPct val="15000"/>
            </a:spcAft>
            <a:buChar char="•"/>
          </a:pPr>
          <a:endParaRPr lang="en-GB" sz="400" kern="1200"/>
        </a:p>
        <a:p>
          <a:pPr marL="57150" lvl="1" indent="-57150" algn="l" defTabSz="466725">
            <a:lnSpc>
              <a:spcPct val="90000"/>
            </a:lnSpc>
            <a:spcBef>
              <a:spcPct val="0"/>
            </a:spcBef>
            <a:spcAft>
              <a:spcPct val="15000"/>
            </a:spcAft>
            <a:buChar char="•"/>
          </a:pPr>
          <a:r>
            <a:rPr lang="en-GB" sz="1050" kern="1200"/>
            <a:t>Telford and Wrekin HWB Strategy</a:t>
          </a:r>
        </a:p>
        <a:p>
          <a:pPr marL="57150" lvl="1" indent="-57150" algn="l" defTabSz="466725">
            <a:lnSpc>
              <a:spcPct val="90000"/>
            </a:lnSpc>
            <a:spcBef>
              <a:spcPct val="0"/>
            </a:spcBef>
            <a:spcAft>
              <a:spcPct val="15000"/>
            </a:spcAft>
            <a:buChar char="•"/>
          </a:pPr>
          <a:r>
            <a:rPr lang="en-GB" sz="1050" kern="1200"/>
            <a:t>T&amp;W Ageing Well Strategy</a:t>
          </a:r>
        </a:p>
        <a:p>
          <a:pPr marL="57150" lvl="1" indent="-57150" algn="l" defTabSz="466725">
            <a:lnSpc>
              <a:spcPct val="90000"/>
            </a:lnSpc>
            <a:spcBef>
              <a:spcPct val="0"/>
            </a:spcBef>
            <a:spcAft>
              <a:spcPct val="15000"/>
            </a:spcAft>
            <a:buChar char="•"/>
          </a:pPr>
          <a:r>
            <a:rPr lang="en-GB" sz="1050" kern="1200"/>
            <a:t>TWIPP Priorities </a:t>
          </a:r>
        </a:p>
        <a:p>
          <a:pPr marL="57150" lvl="1" indent="-57150" algn="l" defTabSz="177800">
            <a:lnSpc>
              <a:spcPct val="90000"/>
            </a:lnSpc>
            <a:spcBef>
              <a:spcPct val="0"/>
            </a:spcBef>
            <a:spcAft>
              <a:spcPct val="15000"/>
            </a:spcAft>
            <a:buChar char="•"/>
          </a:pPr>
          <a:endParaRPr lang="en-GB" sz="400" kern="1200"/>
        </a:p>
        <a:p>
          <a:pPr marL="57150" lvl="1" indent="-57150" algn="l" defTabSz="466725">
            <a:lnSpc>
              <a:spcPct val="90000"/>
            </a:lnSpc>
            <a:spcBef>
              <a:spcPct val="0"/>
            </a:spcBef>
            <a:spcAft>
              <a:spcPct val="15000"/>
            </a:spcAft>
            <a:buChar char="•"/>
          </a:pPr>
          <a:r>
            <a:rPr lang="en-GB" sz="1050" kern="1200"/>
            <a:t>Shropshire HWBB priorities </a:t>
          </a:r>
        </a:p>
        <a:p>
          <a:pPr marL="57150" lvl="1" indent="-57150" algn="l" defTabSz="466725">
            <a:lnSpc>
              <a:spcPct val="90000"/>
            </a:lnSpc>
            <a:spcBef>
              <a:spcPct val="0"/>
            </a:spcBef>
            <a:spcAft>
              <a:spcPct val="15000"/>
            </a:spcAft>
            <a:buChar char="•"/>
          </a:pPr>
          <a:r>
            <a:rPr lang="en-GB" sz="1050" kern="1200"/>
            <a:t>Shropshire Plan</a:t>
          </a:r>
        </a:p>
        <a:p>
          <a:pPr marL="57150" lvl="1" indent="-57150" algn="l" defTabSz="466725">
            <a:lnSpc>
              <a:spcPct val="90000"/>
            </a:lnSpc>
            <a:spcBef>
              <a:spcPct val="0"/>
            </a:spcBef>
            <a:spcAft>
              <a:spcPct val="15000"/>
            </a:spcAft>
            <a:buChar char="•"/>
          </a:pPr>
          <a:r>
            <a:rPr lang="en-GB" sz="1050" kern="1200"/>
            <a:t>Shropshire Prevention </a:t>
          </a:r>
          <a:r>
            <a:rPr lang="en-GB" sz="1100" kern="1200"/>
            <a:t>Framework</a:t>
          </a:r>
        </a:p>
        <a:p>
          <a:pPr marL="57150" lvl="1" indent="-57150" algn="l" defTabSz="488950">
            <a:lnSpc>
              <a:spcPct val="90000"/>
            </a:lnSpc>
            <a:spcBef>
              <a:spcPct val="0"/>
            </a:spcBef>
            <a:spcAft>
              <a:spcPct val="15000"/>
            </a:spcAft>
            <a:buChar char="•"/>
          </a:pPr>
          <a:r>
            <a:rPr lang="en-GB" sz="1100" kern="1200"/>
            <a:t>ShIPP Priorities</a:t>
          </a:r>
        </a:p>
      </dsp:txBody>
      <dsp:txXfrm>
        <a:off x="4763" y="527137"/>
        <a:ext cx="2953394" cy="2031299"/>
      </dsp:txXfrm>
    </dsp:sp>
    <dsp:sp modelId="{7D518AC5-002F-428C-BAC9-A1E57FAD1365}">
      <dsp:nvSpPr>
        <dsp:cNvPr id="0" name=""/>
        <dsp:cNvSpPr/>
      </dsp:nvSpPr>
      <dsp:spPr>
        <a:xfrm>
          <a:off x="3371230" y="0"/>
          <a:ext cx="2950510" cy="533442"/>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marL="0" lvl="0" indent="0" algn="ctr" defTabSz="622300">
            <a:lnSpc>
              <a:spcPct val="90000"/>
            </a:lnSpc>
            <a:spcBef>
              <a:spcPct val="0"/>
            </a:spcBef>
            <a:spcAft>
              <a:spcPct val="35000"/>
            </a:spcAft>
            <a:buNone/>
          </a:pPr>
          <a:r>
            <a:rPr lang="en-GB" sz="1400" b="1" kern="1200"/>
            <a:t>Links to National                      Policies and Initiatives</a:t>
          </a:r>
        </a:p>
      </dsp:txBody>
      <dsp:txXfrm>
        <a:off x="3371230" y="0"/>
        <a:ext cx="2950510" cy="533442"/>
      </dsp:txXfrm>
    </dsp:sp>
    <dsp:sp modelId="{32EB8A40-A0B0-44D9-A7C6-FE58D6EA3028}">
      <dsp:nvSpPr>
        <dsp:cNvPr id="0" name=""/>
        <dsp:cNvSpPr/>
      </dsp:nvSpPr>
      <dsp:spPr>
        <a:xfrm>
          <a:off x="3371230" y="533442"/>
          <a:ext cx="2950510" cy="201868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66725">
            <a:lnSpc>
              <a:spcPct val="90000"/>
            </a:lnSpc>
            <a:spcBef>
              <a:spcPct val="0"/>
            </a:spcBef>
            <a:spcAft>
              <a:spcPct val="15000"/>
            </a:spcAft>
            <a:buChar char="•"/>
          </a:pPr>
          <a:r>
            <a:rPr lang="en-GB" sz="1050" kern="1200"/>
            <a:t>NHS Long Term Plan </a:t>
          </a:r>
        </a:p>
        <a:p>
          <a:pPr marL="57150" lvl="1" indent="-57150" algn="l" defTabSz="466725">
            <a:lnSpc>
              <a:spcPct val="90000"/>
            </a:lnSpc>
            <a:spcBef>
              <a:spcPct val="0"/>
            </a:spcBef>
            <a:spcAft>
              <a:spcPct val="15000"/>
            </a:spcAft>
            <a:buChar char="•"/>
          </a:pPr>
          <a:r>
            <a:rPr lang="en-GB" sz="1050" kern="1200"/>
            <a:t>NHS England Personalised care</a:t>
          </a:r>
        </a:p>
        <a:p>
          <a:pPr marL="57150" lvl="1" indent="-57150" algn="l" defTabSz="466725">
            <a:lnSpc>
              <a:spcPct val="90000"/>
            </a:lnSpc>
            <a:spcBef>
              <a:spcPct val="0"/>
            </a:spcBef>
            <a:spcAft>
              <a:spcPct val="15000"/>
            </a:spcAft>
            <a:buChar char="•"/>
          </a:pPr>
          <a:r>
            <a:rPr lang="en-GB" sz="1050" kern="1200"/>
            <a:t>Skills for Health Frailty Framework</a:t>
          </a:r>
        </a:p>
        <a:p>
          <a:pPr marL="57150" lvl="1" indent="-57150" algn="l" defTabSz="466725">
            <a:lnSpc>
              <a:spcPct val="90000"/>
            </a:lnSpc>
            <a:spcBef>
              <a:spcPct val="0"/>
            </a:spcBef>
            <a:spcAft>
              <a:spcPct val="15000"/>
            </a:spcAft>
            <a:buChar char="•"/>
          </a:pPr>
          <a:r>
            <a:rPr lang="en-GB" sz="1050" kern="1200"/>
            <a:t>Chief Medical Officer’s Annual Report 2023: Health in an ageing society</a:t>
          </a:r>
        </a:p>
        <a:p>
          <a:pPr marL="57150" lvl="1" indent="-57150" algn="l" defTabSz="466725">
            <a:lnSpc>
              <a:spcPct val="90000"/>
            </a:lnSpc>
            <a:spcBef>
              <a:spcPct val="0"/>
            </a:spcBef>
            <a:spcAft>
              <a:spcPct val="15000"/>
            </a:spcAft>
            <a:buChar char="•"/>
          </a:pPr>
          <a:r>
            <a:rPr lang="en-GB" sz="1050" kern="1200"/>
            <a:t>Geriatric medicine - Getting It Right First Time</a:t>
          </a:r>
        </a:p>
        <a:p>
          <a:pPr marL="57150" lvl="1" indent="-57150" algn="l" defTabSz="466725">
            <a:lnSpc>
              <a:spcPct val="90000"/>
            </a:lnSpc>
            <a:spcBef>
              <a:spcPct val="0"/>
            </a:spcBef>
            <a:spcAft>
              <a:spcPct val="15000"/>
            </a:spcAft>
            <a:buChar char="•"/>
          </a:pPr>
          <a:r>
            <a:rPr lang="en-GB" sz="1050" kern="1200"/>
            <a:t>Be proactive: Proactive care for older people with frailty - British Geriatrics Society</a:t>
          </a:r>
        </a:p>
        <a:p>
          <a:pPr marL="57150" lvl="1" indent="-57150" algn="l" defTabSz="466725">
            <a:lnSpc>
              <a:spcPct val="90000"/>
            </a:lnSpc>
            <a:spcBef>
              <a:spcPct val="0"/>
            </a:spcBef>
            <a:spcAft>
              <a:spcPct val="15000"/>
            </a:spcAft>
            <a:buChar char="•"/>
          </a:pPr>
          <a:r>
            <a:rPr lang="en-GB" sz="1050" b="0" i="0" kern="1200"/>
            <a:t>NHS Proactive care: providing care and support for people living at home with moderate or severe frailty</a:t>
          </a:r>
          <a:endParaRPr lang="en-GB" sz="1050" b="0" kern="1200"/>
        </a:p>
      </dsp:txBody>
      <dsp:txXfrm>
        <a:off x="3371230" y="533442"/>
        <a:ext cx="2950510" cy="2018689"/>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C66FD29984EFE4DB93574C6D9BD3785" ma:contentTypeVersion="17" ma:contentTypeDescription="Create a new document." ma:contentTypeScope="" ma:versionID="ab2e2025cdabc2c7c52b6736176cae0f">
  <xsd:schema xmlns:xsd="http://www.w3.org/2001/XMLSchema" xmlns:xs="http://www.w3.org/2001/XMLSchema" xmlns:p="http://schemas.microsoft.com/office/2006/metadata/properties" xmlns:ns1="http://schemas.microsoft.com/sharepoint/v3" xmlns:ns2="40e28a1e-619e-45d7-9705-62cdf4a3c4df" xmlns:ns3="60bd91e6-1c00-477a-97d8-8116f91f6a06" targetNamespace="http://schemas.microsoft.com/office/2006/metadata/properties" ma:root="true" ma:fieldsID="191eb30a453bfa21916c9b19ad3971a6" ns1:_="" ns2:_="" ns3:_="">
    <xsd:import namespace="http://schemas.microsoft.com/sharepoint/v3"/>
    <xsd:import namespace="40e28a1e-619e-45d7-9705-62cdf4a3c4df"/>
    <xsd:import namespace="60bd91e6-1c00-477a-97d8-8116f91f6a06"/>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e28a1e-619e-45d7-9705-62cdf4a3c4d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bd91e6-1c00-477a-97d8-8116f91f6a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7c6d912-2f4b-44f9-95b6-5151cdd711b0}" ma:internalName="TaxCatchAll" ma:showField="CatchAllData" ma:web="60bd91e6-1c00-477a-97d8-8116f91f6a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60bd91e6-1c00-477a-97d8-8116f91f6a06" xsi:nil="true"/>
    <lcf76f155ced4ddcb4097134ff3c332f xmlns="40e28a1e-619e-45d7-9705-62cdf4a3c4d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EA6E6FC-8085-40A5-9EB3-591263B71980}">
  <ds:schemaRefs>
    <ds:schemaRef ds:uri="http://schemas.openxmlformats.org/officeDocument/2006/bibliography"/>
  </ds:schemaRefs>
</ds:datastoreItem>
</file>

<file path=customXml/itemProps2.xml><?xml version="1.0" encoding="utf-8"?>
<ds:datastoreItem xmlns:ds="http://schemas.openxmlformats.org/officeDocument/2006/customXml" ds:itemID="{776D9251-F1F2-4032-B0F1-526F6BCF7AFB}"/>
</file>

<file path=customXml/itemProps3.xml><?xml version="1.0" encoding="utf-8"?>
<ds:datastoreItem xmlns:ds="http://schemas.openxmlformats.org/officeDocument/2006/customXml" ds:itemID="{DDD245FD-421C-4BA6-BC8D-3ACABC64D9AE}"/>
</file>

<file path=customXml/itemProps4.xml><?xml version="1.0" encoding="utf-8"?>
<ds:datastoreItem xmlns:ds="http://schemas.openxmlformats.org/officeDocument/2006/customXml" ds:itemID="{1730824C-0F15-4243-B9B3-B16903020814}"/>
</file>

<file path=docProps/app.xml><?xml version="1.0" encoding="utf-8"?>
<Properties xmlns="http://schemas.openxmlformats.org/officeDocument/2006/extended-properties" xmlns:vt="http://schemas.openxmlformats.org/officeDocument/2006/docPropsVTypes">
  <Template>Normal</Template>
  <TotalTime>0</TotalTime>
  <Pages>7</Pages>
  <Words>1765</Words>
  <Characters>10067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Morris (RRE) MPFT</dc:creator>
  <cp:keywords/>
  <dc:description/>
  <cp:lastModifiedBy>Anna Morris (RRE) MPFT</cp:lastModifiedBy>
  <cp:revision>2</cp:revision>
  <cp:lastPrinted>2024-12-31T17:15:00Z</cp:lastPrinted>
  <dcterms:created xsi:type="dcterms:W3CDTF">2025-01-27T12:57:00Z</dcterms:created>
  <dcterms:modified xsi:type="dcterms:W3CDTF">2025-01-27T12:57:00Z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0x010100CC66FD29984EFE4DB93574C6D9BD3785</vt:lpwstr>
  </property>
  <property fmtid="{D5CDD505-2E9C-101B-9397-08002B2CF9AE}" pid="3" name="MediaServiceImageTags">
    <vt:lpwstr/>
  </property>
</Properties>
</file>